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custom.xml" ContentType="application/vnd.openxmlformats-officedocument.custom-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bidi w:val="0"/>
        <w:pStyle w:val="2"/>
        <w:rPr>
          <w:rFonts w:hint="eastAsia"/>
        </w:rPr>
      </w:pPr>
      <w:r>
        <w:rPr>
          <w:rFonts w:hint="eastAsia"/>
        </w:rPr>
        <w:t>丰城民政局2022年政务公开工作年度报告</w:t>
      </w:r>
    </w:p>
    <w:p>
      <w:pPr>
        <w:keepNext w:val="0"/>
        <w:keepLines w:val="0"/>
        <w:widowControl w:val="0"/>
        <w:kinsoku/>
        <w:wordWrap/>
        <w:overflowPunct/>
        <w:topLinePunct w:val="0"/>
        <w:autoSpaceDE/>
        <w:autoSpaceDN/>
        <w:bidi w:val="0"/>
        <w:adjustRightInd/>
        <w:snapToGrid/>
        <w:textAlignment w:val="auto"/>
        <w:jc w:val="both"/>
        <w:ind w:firstLine="620"/>
        <w:pageBreakBefore w:val="0"/>
        <w:rPr>
          <w:iCs w:val="0"/>
          <w:spacing w:val="0"/>
          <w:i w:val="0"/>
          <w:color w:val="000000"/>
          <w:rFonts w:ascii="仿宋_gb2312" w:cs="仿宋_gb2312" w:eastAsia="仿宋_gb2312" w:hAnsi="仿宋_gb2312" w:hint="default"/>
          <w:sz w:val="31"/>
          <w:szCs w:val="31"/>
          <w:caps w:val="0"/>
        </w:rPr>
      </w:pPr>
      <w:r>
        <w:rPr>
          <w:iCs w:val="0"/>
          <w:spacing w:val="0"/>
          <w:i w:val="0"/>
          <w:color w:val="000000"/>
          <w:rFonts w:ascii="仿宋_gb2312" w:cs="仿宋_gb2312" w:eastAsia="仿宋_gb2312" w:hAnsi="仿宋_gb2312"/>
          <w:sz w:val="31"/>
          <w:szCs w:val="31"/>
          <w:caps w:val="0"/>
        </w:rPr>
        <w:t>本报告根据《中华人民共和国政府信息公开条例》（国务院令</w:t>
      </w:r>
      <w:r>
        <w:rPr>
          <w:iCs w:val="0"/>
          <w:spacing w:val="0"/>
          <w:i w:val="0"/>
          <w:color w:val="000000"/>
          <w:rFonts w:ascii="仿宋_gb2312" w:cs="仿宋_gb2312" w:eastAsia="仿宋_gb2312" w:hAnsi="仿宋_gb2312" w:hint="default"/>
          <w:sz w:val="31"/>
          <w:szCs w:val="31"/>
          <w:caps w:val="0"/>
        </w:rPr>
        <w:t>711号）《国务院办公厅政府信息与政务公开办公室关于政府信息公开工作年度报告有关事项的通知》（国办公开办函[2019]60号）等相关文件要求，汇总本单位在丰城市政府网站、政府信息公开平台数据，由丰城市民政局办公室编制，本年度报告中所列数据统计期限自202</w:t>
      </w:r>
      <w:r>
        <w:rPr>
          <w:iCs w:val="0"/>
          <w:spacing w:val="0"/>
          <w:lang w:val="en-US" w:eastAsia="zh-CN"/>
          <w:i w:val="0"/>
          <w:color w:val="000000"/>
          <w:rFonts w:ascii="仿宋_gb2312" w:cs="仿宋_gb2312" w:eastAsia="仿宋_gb2312" w:hAnsi="仿宋_gb2312" w:hint="eastAsia"/>
          <w:sz w:val="31"/>
          <w:szCs w:val="31"/>
          <w:caps w:val="0"/>
        </w:rPr>
        <w:t>2</w:t>
      </w:r>
      <w:r>
        <w:rPr>
          <w:iCs w:val="0"/>
          <w:spacing w:val="0"/>
          <w:i w:val="0"/>
          <w:color w:val="000000"/>
          <w:rFonts w:ascii="仿宋_gb2312" w:cs="仿宋_gb2312" w:eastAsia="仿宋_gb2312" w:hAnsi="仿宋_gb2312" w:hint="default"/>
          <w:sz w:val="31"/>
          <w:szCs w:val="31"/>
          <w:caps w:val="0"/>
        </w:rPr>
        <w:t>年1月1日至202</w:t>
      </w:r>
      <w:r>
        <w:rPr>
          <w:iCs w:val="0"/>
          <w:spacing w:val="0"/>
          <w:lang w:val="en-US" w:eastAsia="zh-CN"/>
          <w:i w:val="0"/>
          <w:color w:val="000000"/>
          <w:rFonts w:ascii="仿宋_gb2312" w:cs="仿宋_gb2312" w:eastAsia="仿宋_gb2312" w:hAnsi="仿宋_gb2312" w:hint="eastAsia"/>
          <w:sz w:val="31"/>
          <w:szCs w:val="31"/>
          <w:caps w:val="0"/>
        </w:rPr>
        <w:t>2</w:t>
      </w:r>
      <w:r>
        <w:rPr>
          <w:iCs w:val="0"/>
          <w:spacing w:val="0"/>
          <w:i w:val="0"/>
          <w:color w:val="000000"/>
          <w:rFonts w:ascii="仿宋_gb2312" w:cs="仿宋_gb2312" w:eastAsia="仿宋_gb2312" w:hAnsi="仿宋_gb2312" w:hint="default"/>
          <w:sz w:val="31"/>
          <w:szCs w:val="31"/>
          <w:caps w:val="0"/>
        </w:rPr>
        <w:t>年12月31日止，并通过丰城市人民政府门户网站中“政府信息公开年报”栏目网址:</w:t>
      </w:r>
      <w:r>
        <w:rPr>
          <w:iCs w:val="0"/>
          <w:spacing w:val="0"/>
          <w:i w:val="0"/>
          <w:u w:val="none"/>
          <w:color w:val="0000EE"/>
          <w:rFonts w:ascii="微软雅黑" w:cs="微软雅黑" w:eastAsia="微软雅黑" w:hAnsi="微软雅黑"/>
          <w:sz w:val="26"/>
          <w:szCs w:val="26"/>
          <w:caps w:val="0"/>
        </w:rPr>
        <w:fldChar w:fldCharType="begin"/>
      </w:r>
      <w:r>
        <w:rPr>
          <w:iCs w:val="0"/>
          <w:spacing w:val="0"/>
          <w:i w:val="0"/>
          <w:u w:val="none"/>
          <w:color w:val="0000EE"/>
          <w:rFonts w:ascii="微软雅黑" w:cs="微软雅黑" w:eastAsia="微软雅黑" w:hAnsi="微软雅黑"/>
          <w:sz w:val="26"/>
          <w:szCs w:val="26"/>
          <w:caps w:val="0"/>
        </w:rPr>
        <w:instrText xml:space="preserve"> HYPERLINK "http://www.jxfc.gov.cn/fcsrmzf/xxgkndbga0/202201/9c49f3e7246545a1bf1c9aa07a3e9c6f.shtml" \t "http://www.jxfc.gov.cn/fcsrmzf/xxgkndbga0/202201/_self" </w:instrText>
      </w:r>
      <w:r>
        <w:rPr>
          <w:iCs w:val="0"/>
          <w:spacing w:val="0"/>
          <w:i w:val="0"/>
          <w:u w:val="none"/>
          <w:color w:val="0000EE"/>
          <w:rFonts w:ascii="微软雅黑" w:cs="微软雅黑" w:eastAsia="微软雅黑" w:hAnsi="微软雅黑"/>
          <w:sz w:val="26"/>
          <w:szCs w:val="26"/>
          <w:caps w:val="0"/>
        </w:rPr>
        <w:fldChar w:fldCharType="separate"/>
      </w:r>
      <w:r>
        <w:rPr>
          <w:iCs w:val="0"/>
          <w:spacing w:val="0"/>
          <w:rStyle w:val="9"/>
          <w:i w:val="0"/>
          <w:u w:val="none"/>
          <w:color w:val="0000EE"/>
          <w:rFonts w:ascii="Times New Roman" w:cs="Times New Roman" w:eastAsia="微软雅黑" w:hAnsi="Times New Roman"/>
          <w:sz w:val="30"/>
          <w:szCs w:val="30"/>
          <w:caps w:val="0"/>
        </w:rPr>
        <w:t>http://www.jxfc.gov.cn/xxgk-show-123595.html</w:t>
      </w:r>
      <w:r>
        <w:rPr>
          <w:iCs w:val="0"/>
          <w:spacing w:val="0"/>
          <w:i w:val="0"/>
          <w:u w:val="none"/>
          <w:color w:val="0000EE"/>
          <w:rFonts w:ascii="微软雅黑" w:cs="微软雅黑" w:eastAsia="微软雅黑" w:hAnsi="微软雅黑" w:hint="eastAsia"/>
          <w:sz w:val="26"/>
          <w:szCs w:val="26"/>
          <w:caps w:val="0"/>
        </w:rPr>
        <w:fldChar w:fldCharType="end"/>
      </w:r>
      <w:r>
        <w:rPr>
          <w:iCs w:val="0"/>
          <w:spacing w:val="0"/>
          <w:i w:val="0"/>
          <w:color w:val="000000"/>
          <w:rFonts w:ascii="仿宋_gb2312" w:cs="仿宋_gb2312" w:eastAsia="仿宋_gb2312" w:hAnsi="仿宋_gb2312" w:hint="default"/>
          <w:sz w:val="31"/>
          <w:szCs w:val="31"/>
          <w:caps w:val="0"/>
        </w:rPr>
        <w:t>）等平台向社会主动公开，如对本年报有任务疑问，请与丰城市民政局办公室联系（地址：丰城市雷焕路186号，电话：0795－6609569）。</w:t>
      </w:r>
    </w:p>
    <w:p>
      <w:pPr>
        <w:jc w:val="left"/>
        <w:ind w:firstLine="620"/>
        <w:pageBreakBefore w:val="0"/>
      </w:pPr>
      <w:r>
        <w:rPr>
          <w:i w:val="0"/>
          <w:color w:val="000000"/>
          <w:rFonts w:ascii="仿宋_gb2312"/>
          <w:sz w:val="31"/>
          <w:caps w:val="0"/>
        </w:rPr>
        <w:t>一、总体情况</w:t>
      </w:r>
    </w:p>
    <w:p>
      <w:pPr>
        <w:jc w:val="both"/>
        <w:ind w:firstLine="620"/>
        <w:pageBreakBefore w:val="0"/>
      </w:pPr>
      <w:r>
        <w:rPr>
          <w:i w:val="0"/>
          <w:color w:val="000000"/>
          <w:rFonts w:ascii="仿宋_gb2312"/>
          <w:sz w:val="31"/>
          <w:caps w:val="0"/>
        </w:rPr>
        <w:t>民政部门作为公众关注度高、公益性强的政府部门之一。2022年，丰城市民政局以开展学习贯彻十九届五中全会和党的二十大为契机，进一步贯彻落实《条例》，加强组织，深化政府信息公开内容，拓展化开形式，把政务信息公开作为民政部门“以民为本,为民解困，为民服务”核心理念的重要体现，作为推进各项民政工作健康发展的内在动力，作为民政系统内强素质、外树形象的有力抓手，作为自觉接受群众监督、使权力在阳光下运行的重要举措，转变观念，扎实工作，创新开拓，有力推进了政务公开工作的新发展。</w:t>
      </w:r>
    </w:p>
    <w:p>
      <w:pPr>
        <w:jc w:val="both"/>
        <w:ind w:firstLine="620"/>
        <w:pageBreakBefore w:val="0"/>
      </w:pPr>
      <w:r>
        <w:rPr>
          <w:i w:val="0"/>
          <w:color w:val="000000"/>
          <w:rFonts w:ascii="仿宋_gb2312"/>
          <w:sz w:val="31"/>
          <w:caps w:val="0"/>
        </w:rPr>
        <w:t>（一）加强领导，健全机制。为加强政府信息公开工作的组织领导，我局明确了政府信息公开工作的主管领导和工作机制。建立健全了政府信息公开工作机制，形成了主体明确、责任到位、任务落实的工作格局，确保了民政信息公开各项工作措施得到落实。</w:t>
      </w:r>
    </w:p>
    <w:p>
      <w:pPr>
        <w:jc w:val="both"/>
        <w:ind w:firstLine="620"/>
        <w:pageBreakBefore w:val="0"/>
      </w:pPr>
      <w:r>
        <w:rPr>
          <w:i w:val="0"/>
          <w:color w:val="000000"/>
          <w:rFonts w:ascii="仿宋_gb2312"/>
          <w:sz w:val="31"/>
          <w:caps w:val="0"/>
        </w:rPr>
        <w:t>（二）落实政策，完善制度。按照《条例》及市政府的要求，结合本市民政实际，进一步完善丰城市民政局规章制度，包括《丰城市民政局政府信息公开指南》、《丰城市民政局政府信息公开目录》等多项制度。建立健全了政府信息主动公开、依申请公开等相关工作制度，规范民政信息公开工作和信息依申请公开工作流程。</w:t>
      </w:r>
    </w:p>
    <w:p>
      <w:pPr>
        <w:jc w:val="both"/>
        <w:ind w:firstLine="620"/>
        <w:pageBreakBefore w:val="0"/>
      </w:pPr>
      <w:r>
        <w:rPr>
          <w:i w:val="0"/>
          <w:color w:val="000000"/>
          <w:rFonts w:ascii="仿宋_gb2312"/>
          <w:sz w:val="31"/>
          <w:caps w:val="0"/>
        </w:rPr>
        <w:t>（三）加强管理，提高水平。凡上网上公开的信息均通过分管领导的审核，然后及时进行发布。同时加强信息公开工作队伍建设，组织人员参加市里举办专题培训班，提高工作人员综合素质和业务水平。</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4"/>
        <w:ind w:left="0"/>
        <w:ind w:right="0"/>
        <w:ind w:firstLine="645"/>
        <w:spacing w:before="0" w:beforeAutospacing="0" w:after="0" w:afterAutospacing="0" w:line="600" w:lineRule="atLeast"/>
        <w:rPr>
          <w:iCs w:val="0"/>
          <w:spacing w:val="0"/>
          <w:i w:val="0"/>
          <w:color w:val="000000"/>
          <w:rFonts w:ascii="微软雅黑" w:cs="微软雅黑" w:eastAsia="微软雅黑" w:hAnsi="微软雅黑" w:hint="eastAsia"/>
          <w:sz w:val="26"/>
          <w:szCs w:val="26"/>
          <w:caps w:val="0"/>
        </w:rPr>
      </w:pPr>
      <w:r>
        <w:rPr>
          <w:iCs w:val="0"/>
          <w:spacing w:val="0"/>
          <w:i w:val="0"/>
          <w:color w:val="000000"/>
          <w:rFonts w:ascii="仿宋_gb2312" w:cs="仿宋_gb2312" w:eastAsia="仿宋_gb2312" w:hAnsi="仿宋_gb2312" w:hint="default"/>
          <w:sz w:val="31"/>
          <w:szCs w:val="31"/>
          <w:caps w:val="0"/>
          <w:shd w:fill="FFFFFF" w:val="clear"/>
        </w:rPr>
        <w:t>（四）政府信息公开平台建设情况。加强组织领导，健全工作机制，不断强化服务意识和责任意识，拓展公开内容，创新公开形式，切实提高了我局政府信息公开工作水平，使政府信息公开工作积极、稳妥、有序推进。</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4"/>
        <w:ind w:left="0"/>
        <w:ind w:right="0"/>
        <w:ind w:firstLine="645"/>
        <w:spacing w:before="0" w:beforeAutospacing="0" w:after="0" w:afterAutospacing="0" w:line="600" w:lineRule="atLeast"/>
        <w:rPr>
          <w:iCs w:val="0"/>
          <w:spacing w:val="0"/>
          <w:lang w:eastAsia="zh-CN"/>
          <w:i w:val="0"/>
          <w:color w:val="000000"/>
          <w:rFonts w:ascii="仿宋_gb2312" w:cs="仿宋_gb2312" w:eastAsia="仿宋" w:hAnsi="仿宋_gb2312" w:hint="eastAsia"/>
          <w:sz w:val="31"/>
          <w:szCs w:val="31"/>
          <w:caps w:val="0"/>
          <w:shd w:fill="FFFFFF" w:val="clear"/>
        </w:rPr>
      </w:pPr>
      <w:r>
        <w:rPr>
          <w:iCs w:val="0"/>
          <w:spacing w:val="0"/>
          <w:i w:val="0"/>
          <w:color w:val="000000"/>
          <w:rFonts w:ascii="仿宋_gb2312" w:cs="仿宋_gb2312" w:eastAsia="仿宋_gb2312" w:hAnsi="仿宋_gb2312" w:hint="default"/>
          <w:sz w:val="31"/>
          <w:szCs w:val="31"/>
          <w:caps w:val="0"/>
          <w:shd w:fill="FFFFFF" w:val="clear"/>
        </w:rPr>
        <w:t>（五）监督保障情况。</w:t>
      </w:r>
      <w:r>
        <w:rPr>
          <w:iCs w:val="0"/>
          <w:spacing w:val="0"/>
          <w:lang w:eastAsia="zh-CN"/>
          <w:i w:val="0"/>
          <w:color w:val="000000"/>
          <w:rFonts w:ascii="仿宋_gb2312" w:cs="仿宋_gb2312" w:eastAsia="仿宋_gb2312" w:hAnsi="仿宋_gb2312" w:hint="eastAsia"/>
          <w:sz w:val="31"/>
          <w:szCs w:val="31"/>
          <w:caps w:val="0"/>
          <w:shd w:fill="FFFFFF" w:val="clear"/>
        </w:rPr>
        <w:t>一是</w:t>
      </w:r>
      <w:r>
        <w:rPr>
          <w:iCs w:val="0"/>
          <w:spacing w:val="0"/>
          <w:i w:val="0"/>
          <w:color w:val="000000"/>
          <w:rFonts w:ascii="仿宋_gb2312" w:cs="仿宋_gb2312" w:eastAsia="仿宋_gb2312" w:hAnsi="仿宋_gb2312" w:hint="default"/>
          <w:sz w:val="31"/>
          <w:szCs w:val="31"/>
          <w:caps w:val="0"/>
          <w:shd w:fill="FFFFFF" w:val="clear"/>
        </w:rPr>
        <w:t>我局坚持把政务公开工作纳入单位重要议事日程，明确局机关办公室负责政务公开日常工作。始终坚持实事求是、面向基层、面向群众，及时、准确公开和公布职工群众关心的热点、难点和有关切身利益等事项。</w:t>
      </w:r>
      <w:r>
        <w:rPr>
          <w:iCs w:val="0"/>
          <w:spacing w:val="0"/>
          <w:lang w:eastAsia="zh-CN"/>
          <w:i w:val="0"/>
          <w:color w:val="000000"/>
          <w:rFonts w:ascii="仿宋_gb2312" w:cs="仿宋_gb2312" w:eastAsia="仿宋_gb2312" w:hAnsi="仿宋_gb2312" w:hint="eastAsia"/>
          <w:sz w:val="31"/>
          <w:szCs w:val="31"/>
          <w:caps w:val="0"/>
          <w:shd w:fill="FFFFFF" w:val="clear"/>
        </w:rPr>
        <w:t>二是</w:t>
      </w:r>
      <w:r>
        <w:rPr>
          <w:iCs w:val="0"/>
          <w:spacing w:val="0"/>
          <w:i w:val="0"/>
          <w:color w:val="000000"/>
          <w:rFonts w:ascii="仿宋" w:cs="仿宋" w:eastAsia="仿宋" w:hAnsi="仿宋"/>
          <w:sz w:val="32"/>
          <w:szCs w:val="32"/>
          <w:caps w:val="0"/>
          <w:shd w:fill="FFFFFF" w:val="clear"/>
        </w:rPr>
        <w:t>建立健全了政府信息公开社会评议制度，及时更新政务信息，提升了公开质量和实效。</w:t>
      </w:r>
      <w:r>
        <w:rPr>
          <w:iCs w:val="0"/>
          <w:spacing w:val="0"/>
          <w:lang w:eastAsia="zh-CN"/>
          <w:i w:val="0"/>
          <w:color w:val="000000"/>
          <w:rFonts w:ascii="仿宋" w:cs="仿宋" w:eastAsia="仿宋" w:hAnsi="仿宋" w:hint="eastAsia"/>
          <w:sz w:val="32"/>
          <w:szCs w:val="32"/>
          <w:caps w:val="0"/>
          <w:shd w:fill="FFFFFF" w:val="clear"/>
        </w:rPr>
        <w:t>三是我局</w:t>
      </w:r>
      <w:r>
        <w:rPr>
          <w:iCs w:val="0"/>
          <w:spacing w:val="0"/>
          <w:i w:val="0"/>
          <w:color w:val="000000"/>
          <w:rFonts w:ascii="仿宋_gb2312" w:cs="仿宋_gb2312" w:eastAsia="仿宋_gb2312" w:hAnsi="宋体" w:hint="default"/>
          <w:sz w:val="32"/>
          <w:szCs w:val="32"/>
          <w:caps w:val="0"/>
        </w:rPr>
        <w:t>2022年未发生政务公开被追究责任的情况。</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4"/>
        <w:ind w:left="0"/>
        <w:ind w:right="0"/>
        <w:ind w:firstLine="645"/>
        <w:spacing w:before="0" w:beforeAutospacing="0" w:after="0" w:afterAutospacing="0" w:line="600" w:lineRule="atLeast"/>
        <w:rPr>
          <w:iCs w:val="0"/>
          <w:spacing w:val="0"/>
          <w:i w:val="0"/>
          <w:color w:val="000000"/>
          <w:rFonts w:ascii="仿宋_gb2312" w:cs="仿宋_gb2312" w:eastAsia="仿宋_gb2312" w:hAnsi="仿宋_gb2312" w:hint="default"/>
          <w:sz w:val="31"/>
          <w:szCs w:val="31"/>
          <w:caps w:val="0"/>
          <w:shd w:fill="FFFFFF" w:val="clear"/>
        </w:rPr>
      </w:pP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4"/>
        <w:ind w:left="0"/>
        <w:ind w:right="0"/>
        <w:ind w:firstLine="645"/>
        <w:spacing w:before="0" w:beforeAutospacing="0" w:after="0" w:afterAutospacing="0" w:line="600" w:lineRule="atLeast"/>
        <w:rPr>
          <w:iCs w:val="0"/>
          <w:spacing w:val="0"/>
          <w:lang w:val="en-US" w:eastAsia="zh-CN"/>
          <w:i w:val="0"/>
          <w:color w:val="000000"/>
          <w:rFonts w:ascii="仿宋_gb2312" w:cs="仿宋_gb2312" w:eastAsia="仿宋_gb2312" w:hAnsi="仿宋_gb2312" w:hint="default"/>
          <w:sz w:val="31"/>
          <w:szCs w:val="31"/>
          <w:caps w:val="0"/>
          <w:shd w:fill="FFFFFF" w:val="clear"/>
        </w:rPr>
      </w:pP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rPr>
          <w:rStyle w:val="8"/>
        </w:rPr>
        <w:pStyle w:val="4"/>
        <w:numPr>
          <w:ilvl w:val="0"/>
          <w:numId w:val="0"/>
        </w:numPr>
        <w:ind w:left="420"/>
        <w:ind w:right="0"/>
        <w:pageBreakBefore w:val="0"/>
        <w:spacing w:before="0" w:beforeAutospacing="0" w:after="0" w:afterAutospacing="0" w:line="400" w:lineRule="exact"/>
        <w:rPr>
          <w:bCs/>
          <w:iCs w:val="0"/>
          <w:spacing w:val="0"/>
          <w14:textFill>
            <w14:solidFill>
              <w14:schemeClr w14:val="tx1"/>
            </w14:solidFill>
          </w14:textFill>
          <w:rStyle w:val="8"/>
          <w:b w:val="0"/>
          <w:i w:val="0"/>
          <w:color w:val="000000"/>
          <w:rFonts w:ascii="黑体" w:cs="黑体" w:eastAsia="黑体" w:hAnsi="黑体" w:hint="eastAsia"/>
          <w:sz w:val="28"/>
          <w:szCs w:val="28"/>
          <w:caps w:val="0"/>
          <w:shd w:fill="FFFFFF" w:val="clear"/>
        </w:rPr>
      </w:pPr>
      <w:r>
        <w:rPr>
          <w:bCs/>
          <w:iCs w:val="0"/>
          <w:spacing w:val="0"/>
          <w:lang w:eastAsia="zh-CN"/>
          <w14:textFill>
            <w14:solidFill>
              <w14:schemeClr w14:val="tx1"/>
            </w14:solidFill>
          </w14:textFill>
          <w:rStyle w:val="8"/>
          <w:b w:val="0"/>
          <w:i w:val="0"/>
          <w:color w:val="000000"/>
          <w:rFonts w:ascii="黑体" w:cs="黑体" w:eastAsia="黑体" w:hAnsi="黑体" w:hint="eastAsia"/>
          <w:sz w:val="28"/>
          <w:szCs w:val="28"/>
          <w:caps w:val="0"/>
          <w:shd w:fill="FFFFFF" w:val="clear"/>
        </w:rPr>
        <w:t>二、主</w:t>
      </w:r>
      <w:r>
        <w:rPr>
          <w:bCs/>
          <w:iCs w:val="0"/>
          <w:spacing w:val="0"/>
          <w14:textFill>
            <w14:solidFill>
              <w14:schemeClr w14:val="tx1"/>
            </w14:solidFill>
          </w14:textFill>
          <w:rStyle w:val="8"/>
          <w:b w:val="0"/>
          <w:i w:val="0"/>
          <w:color w:val="000000"/>
          <w:rFonts w:ascii="黑体" w:cs="黑体" w:eastAsia="黑体" w:hAnsi="黑体" w:hint="eastAsia"/>
          <w:sz w:val="28"/>
          <w:szCs w:val="28"/>
          <w:caps w:val="0"/>
          <w:shd w:fill="FFFFFF" w:val="clear"/>
        </w:rPr>
        <w:t>动公开政府信息情况</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rPr>
          <w:rStyle w:val="8"/>
        </w:rPr>
        <w:pStyle w:val="4"/>
        <w:numPr>
          <w:ilvl w:val="0"/>
          <w:numId w:val="0"/>
        </w:numPr>
        <w:ind w:left="420"/>
        <w:ind w:right="0"/>
        <w:pageBreakBefore w:val="0"/>
        <w:spacing w:before="0" w:beforeAutospacing="0" w:after="0" w:afterAutospacing="0" w:line="400" w:lineRule="exact"/>
        <w:rPr>
          <w:bCs/>
          <w:iCs w:val="0"/>
          <w:spacing w:val="0"/>
          <w:lang w:eastAsia="zh-CN"/>
          <w14:textFill>
            <w14:solidFill>
              <w14:schemeClr w14:val="tx1"/>
            </w14:solidFill>
          </w14:textFill>
          <w:rStyle w:val="8"/>
          <w:b w:val="0"/>
          <w:i w:val="0"/>
          <w:color w:val="000000"/>
          <w:rFonts w:ascii="黑体" w:cs="黑体" w:eastAsia="黑体" w:hAnsi="黑体" w:hint="eastAsia"/>
          <w:sz w:val="28"/>
          <w:szCs w:val="28"/>
          <w:caps w:val="0"/>
          <w:shd w:fill="FFFFFF" w:val="clear"/>
        </w:rPr>
      </w:pPr>
      <w:bookmarkStart w:id="0" w:name="_GoBack"/>
      <w:bookmarkEnd w:id="0"/>
    </w:p>
    <w:tbl>
      <w:tblPr>
        <w:tblW w:w="9038" w:type="dxa"/>
        <w:tblLayout w:type="autofit"/>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Style w:val="6"/>
      </w:tblPr>
      <w:tblGrid>
        <w:gridCol w:w="2259"/>
        <w:gridCol w:w="2259"/>
        <w:gridCol w:w="2260"/>
        <w:gridCol w:w="2260"/>
      </w:tblGrid>
      <w:tr>
        <w:trPr>
          <w:trHeight w:val="42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gridSpan w:val="4"/>
            <w:tcW w:w="903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jc w:val="center"/>
              <w:ind w:right="0"/>
              <w:pageBreakBefore w:val="0"/>
              <w:spacing w:before="0" w:beforeAutospacing="0" w:after="0" w:afterAutospacing="0" w:line="400" w:lineRule="exact"/>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第二十条第</w:t>
            </w:r>
            <w:r>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w:t>
            </w: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一</w:t>
            </w:r>
            <w:r>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w:t>
            </w: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项</w:t>
            </w:r>
          </w:p>
        </w:tc>
      </w:tr>
      <w:tr>
        <w:trPr>
          <w:trHeight w:val="42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信息内容</w:t>
            </w:r>
          </w:p>
        </w:tc>
        <w:tc>
          <w:tcPr>
            <w:tcW w:w="22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本年制发件数</w:t>
            </w:r>
          </w:p>
        </w:tc>
        <w:tc>
          <w:tcPr>
            <w:tcW w:w="2260"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本年废止件数</w:t>
            </w:r>
          </w:p>
        </w:tc>
        <w:tc>
          <w:tcPr>
            <w:tcW w:w="2260"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现行有效件数</w:t>
            </w:r>
          </w:p>
        </w:tc>
      </w:tr>
      <w:tr>
        <w:trPr>
          <w:trHeight w:val="42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规章</w:t>
            </w:r>
          </w:p>
        </w:tc>
        <w:tc>
          <w:tcPr>
            <w:tcW w:w="22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val="en-US" w:eastAsia="zh-CN"/>
                <w14:textFill>
                  <w14:solidFill>
                    <w14:schemeClr w14:val="tx1"/>
                  </w14:solidFill>
                </w14:textFill>
                <w:rStyle w:val="8"/>
                <w:b w:val="0"/>
                <w:i w:val="0"/>
                <w:color w:val="000000"/>
                <w:rFonts w:cs="宋体" w:hint="eastAsia"/>
                <w:sz w:val="21"/>
                <w:szCs w:val="21"/>
                <w:caps w:val="0"/>
                <w:shd w:fill="FFFFFF" w:val="clear"/>
              </w:rPr>
              <w:t>0</w:t>
            </w:r>
          </w:p>
        </w:tc>
        <w:tc>
          <w:tcPr>
            <w:tcW w:w="2260"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val="en-US" w:eastAsia="zh-CN"/>
                <w14:textFill>
                  <w14:solidFill>
                    <w14:schemeClr w14:val="tx1"/>
                  </w14:solidFill>
                </w14:textFill>
                <w:rStyle w:val="8"/>
                <w:b w:val="0"/>
                <w:i w:val="0"/>
                <w:color w:val="000000"/>
                <w:rFonts w:cs="宋体" w:hint="eastAsia"/>
                <w:sz w:val="21"/>
                <w:szCs w:val="21"/>
                <w:caps w:val="0"/>
                <w:shd w:fill="FFFFFF" w:val="clear"/>
              </w:rPr>
              <w:t>0</w:t>
            </w:r>
          </w:p>
        </w:tc>
        <w:tc>
          <w:tcPr>
            <w:tcW w:w="2260"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val="en-US" w:eastAsia="zh-CN"/>
                <w14:textFill>
                  <w14:solidFill>
                    <w14:schemeClr w14:val="tx1"/>
                  </w14:solidFill>
                </w14:textFill>
                <w:rStyle w:val="8"/>
                <w:b w:val="0"/>
                <w:i w:val="0"/>
                <w:color w:val="000000"/>
                <w:rFonts w:cs="宋体" w:hint="eastAsia"/>
                <w:sz w:val="21"/>
                <w:szCs w:val="21"/>
                <w:caps w:val="0"/>
                <w:shd w:fill="FFFFFF" w:val="clear"/>
              </w:rPr>
              <w:t>0</w:t>
            </w:r>
          </w:p>
        </w:tc>
      </w:tr>
      <w:tr>
        <w:trPr>
          <w:trHeight w:val="42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行政规范性文件</w:t>
            </w:r>
          </w:p>
        </w:tc>
        <w:tc>
          <w:tcPr>
            <w:tcW w:w="22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val="en-US" w:eastAsia="zh-CN"/>
                <w14:textFill>
                  <w14:solidFill>
                    <w14:schemeClr w14:val="tx1"/>
                  </w14:solidFill>
                </w14:textFill>
                <w:rStyle w:val="8"/>
                <w:b w:val="0"/>
                <w:i w:val="0"/>
                <w:color w:val="000000"/>
                <w:rFonts w:ascii="宋体" w:cs="宋体" w:eastAsia="宋体" w:hAnsi="宋体" w:hint="default"/>
                <w:sz w:val="21"/>
                <w:szCs w:val="21"/>
                <w:caps w:val="0"/>
                <w:shd w:fill="FFFFFF" w:val="clear"/>
              </w:rPr>
            </w:pPr>
            <w:r>
              <w:rPr>
                <w:bCs/>
                <w:iCs w:val="0"/>
                <w:spacing w:val="0"/>
                <w:lang w:val="en-US" w:eastAsia="zh-CN"/>
                <w14:textFill>
                  <w14:solidFill>
                    <w14:schemeClr w14:val="tx1"/>
                  </w14:solidFill>
                </w14:textFill>
                <w:rStyle w:val="8"/>
                <w:b w:val="0"/>
                <w:i w:val="0"/>
                <w:color w:val="000000"/>
                <w:rFonts w:cs="宋体" w:hint="eastAsia"/>
                <w:sz w:val="21"/>
                <w:szCs w:val="21"/>
                <w:caps w:val="0"/>
                <w:shd w:fill="FFFFFF" w:val="clear"/>
              </w:rPr>
              <w:t>0</w:t>
            </w:r>
          </w:p>
        </w:tc>
        <w:tc>
          <w:tcPr>
            <w:tcW w:w="2260"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val="en-US" w:eastAsia="zh-CN"/>
                <w14:textFill>
                  <w14:solidFill>
                    <w14:schemeClr w14:val="tx1"/>
                  </w14:solidFill>
                </w14:textFill>
                <w:rStyle w:val="8"/>
                <w:b w:val="0"/>
                <w:i w:val="0"/>
                <w:color w:val="000000"/>
                <w:rFonts w:cs="宋体" w:hint="eastAsia"/>
                <w:sz w:val="21"/>
                <w:szCs w:val="21"/>
                <w:caps w:val="0"/>
                <w:shd w:fill="FFFFFF" w:val="clear"/>
              </w:rPr>
              <w:t>0</w:t>
            </w:r>
          </w:p>
        </w:tc>
        <w:tc>
          <w:tcPr>
            <w:tcW w:w="2260"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val="en-US" w:eastAsia="zh-CN"/>
                <w14:textFill>
                  <w14:solidFill>
                    <w14:schemeClr w14:val="tx1"/>
                  </w14:solidFill>
                </w14:textFill>
                <w:rStyle w:val="8"/>
                <w:b w:val="0"/>
                <w:i w:val="0"/>
                <w:color w:val="000000"/>
                <w:rFonts w:ascii="宋体" w:cs="宋体" w:eastAsia="宋体" w:hAnsi="宋体" w:hint="default"/>
                <w:sz w:val="21"/>
                <w:szCs w:val="21"/>
                <w:caps w:val="0"/>
                <w:shd w:fill="FFFFFF" w:val="clear"/>
              </w:rPr>
            </w:pPr>
            <w:r>
              <w:rPr>
                <w:bCs/>
                <w:iCs w:val="0"/>
                <w:spacing w:val="0"/>
                <w:lang w:val="en-US" w:eastAsia="zh-CN"/>
                <w14:textFill>
                  <w14:solidFill>
                    <w14:schemeClr w14:val="tx1"/>
                  </w14:solidFill>
                </w14:textFill>
                <w:rStyle w:val="8"/>
                <w:b w:val="0"/>
                <w:i w:val="0"/>
                <w:color w:val="000000"/>
                <w:rFonts w:cs="宋体" w:hint="eastAsia"/>
                <w:sz w:val="21"/>
                <w:szCs w:val="21"/>
                <w:caps w:val="0"/>
                <w:shd w:fill="FFFFFF" w:val="clear"/>
              </w:rPr>
              <w:t>55</w:t>
            </w:r>
          </w:p>
        </w:tc>
      </w:tr>
      <w:tr>
        <w:trPr>
          <w:trHeight w:val="42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gridSpan w:val="4"/>
            <w:tcW w:w="903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jc w:val="center"/>
              <w:ind w:right="0"/>
              <w:pageBreakBefore w:val="0"/>
              <w:spacing w:before="0" w:beforeAutospacing="0" w:after="0" w:afterAutospacing="0" w:line="400" w:lineRule="exact"/>
              <w:rPr>
                <w:bCs/>
                <w:iCs w:val="0"/>
                <w:spacing w:val="0"/>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第二十条第</w:t>
            </w:r>
            <w:r>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w:t>
            </w: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五</w:t>
            </w:r>
            <w:r>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w:t>
            </w: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项</w:t>
            </w:r>
          </w:p>
        </w:tc>
      </w:tr>
      <w:tr>
        <w:trPr>
          <w:trHeight w:val="42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信息内容</w:t>
            </w:r>
          </w:p>
        </w:tc>
        <w:tc>
          <w:tcPr>
            <w:gridSpan w:val="3"/>
            <w:tcW w:w="677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jc w:val="center"/>
              <w:ind w:right="0"/>
              <w:pageBreakBefore w:val="0"/>
              <w:spacing w:before="0" w:beforeAutospacing="0" w:after="0" w:afterAutospacing="0" w:line="400" w:lineRule="exact"/>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本年处理决定数量</w:t>
            </w:r>
          </w:p>
        </w:tc>
      </w:tr>
      <w:tr>
        <w:trPr>
          <w:trHeight w:val="42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行政许可</w:t>
            </w:r>
          </w:p>
        </w:tc>
        <w:tc>
          <w:tcPr>
            <w:gridSpan w:val="3"/>
            <w:tcW w:w="677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jc w:val="center"/>
              <w:ind w:right="0"/>
              <w:pageBreakBefore w:val="0"/>
              <w:spacing w:before="0" w:beforeAutospacing="0" w:after="0" w:afterAutospacing="0" w:line="400" w:lineRule="exact"/>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val="en-US" w:eastAsia="zh-CN"/>
                <w14:textFill>
                  <w14:solidFill>
                    <w14:schemeClr w14:val="tx1"/>
                  </w14:solidFill>
                </w14:textFill>
                <w:rStyle w:val="8"/>
                <w:b w:val="0"/>
                <w:i w:val="0"/>
                <w:color w:val="000000"/>
                <w:rFonts w:cs="宋体" w:hint="eastAsia"/>
                <w:sz w:val="21"/>
                <w:szCs w:val="21"/>
                <w:caps w:val="0"/>
                <w:shd w:fill="FFFFFF" w:val="clear"/>
              </w:rPr>
              <w:t>0</w:t>
            </w:r>
          </w:p>
        </w:tc>
      </w:tr>
      <w:tr>
        <w:trPr>
          <w:trHeight w:val="43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gridSpan w:val="4"/>
            <w:tcW w:w="903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jc w:val="center"/>
              <w:ind w:right="0"/>
              <w:pageBreakBefore w:val="0"/>
              <w:spacing w:before="0" w:beforeAutospacing="0" w:after="0" w:afterAutospacing="0" w:line="400" w:lineRule="exact"/>
              <w:rPr>
                <w:bCs/>
                <w:iCs w:val="0"/>
                <w:spacing w:val="0"/>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第二十条第</w:t>
            </w:r>
            <w:r>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w:t>
            </w: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六</w:t>
            </w:r>
            <w:r>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w:t>
            </w: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项</w:t>
            </w:r>
          </w:p>
        </w:tc>
      </w:tr>
      <w:tr>
        <w:trPr>
          <w:trHeight w:val="43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信息内容</w:t>
            </w:r>
          </w:p>
        </w:tc>
        <w:tc>
          <w:tcPr>
            <w:gridSpan w:val="3"/>
            <w:tcW w:w="677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jc w:val="center"/>
              <w:ind w:right="0"/>
              <w:pageBreakBefore w:val="0"/>
              <w:spacing w:before="0" w:beforeAutospacing="0" w:after="0" w:afterAutospacing="0" w:line="400" w:lineRule="exact"/>
              <w:rPr>
                <w:bCs/>
                <w:iCs w:val="0"/>
                <w:spacing w:val="0"/>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本年处理决定数量</w:t>
            </w:r>
          </w:p>
        </w:tc>
      </w:tr>
      <w:tr>
        <w:trPr>
          <w:trHeight w:val="43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行政</w:t>
            </w:r>
            <w:r>
              <w:rPr>
                <w:bCs/>
                <w:iCs w:val="0"/>
                <w:spacing w:val="0"/>
                <w:lang w:eastAsia="zh-CN"/>
                <w14:textFill>
                  <w14:solidFill>
                    <w14:schemeClr w14:val="tx1"/>
                  </w14:solidFill>
                </w14:textFill>
                <w:rStyle w:val="8"/>
                <w:b w:val="0"/>
                <w:i w:val="0"/>
                <w:color w:val="000000"/>
                <w:rFonts w:cs="宋体" w:hint="eastAsia"/>
                <w:sz w:val="21"/>
                <w:szCs w:val="21"/>
                <w:caps w:val="0"/>
                <w:shd w:fill="FFFFFF" w:val="clear"/>
              </w:rPr>
              <w:t>处罚</w:t>
            </w:r>
          </w:p>
        </w:tc>
        <w:tc>
          <w:tcPr>
            <w:gridSpan w:val="3"/>
            <w:tcW w:w="677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jc w:val="center"/>
              <w:ind w:right="0"/>
              <w:pageBreakBefore w:val="0"/>
              <w:spacing w:before="0" w:beforeAutospacing="0" w:after="0" w:afterAutospacing="0" w:line="400" w:lineRule="exact"/>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val="en-US" w:eastAsia="zh-CN"/>
                <w14:textFill>
                  <w14:solidFill>
                    <w14:schemeClr w14:val="tx1"/>
                  </w14:solidFill>
                </w14:textFill>
                <w:rStyle w:val="8"/>
                <w:b w:val="0"/>
                <w:i w:val="0"/>
                <w:color w:val="000000"/>
                <w:rFonts w:cs="宋体" w:hint="eastAsia"/>
                <w:sz w:val="21"/>
                <w:szCs w:val="21"/>
                <w:caps w:val="0"/>
                <w:shd w:fill="FFFFFF" w:val="clear"/>
              </w:rPr>
              <w:t>0</w:t>
            </w:r>
          </w:p>
        </w:tc>
      </w:tr>
      <w:tr>
        <w:trPr>
          <w:trHeight w:val="43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行政强制</w:t>
            </w:r>
          </w:p>
        </w:tc>
        <w:tc>
          <w:tcPr>
            <w:gridSpan w:val="3"/>
            <w:tcW w:w="677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jc w:val="center"/>
              <w:ind w:right="0"/>
              <w:pageBreakBefore w:val="0"/>
              <w:spacing w:before="0" w:beforeAutospacing="0" w:after="0" w:afterAutospacing="0" w:line="400" w:lineRule="exact"/>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val="en-US" w:eastAsia="zh-CN"/>
                <w14:textFill>
                  <w14:solidFill>
                    <w14:schemeClr w14:val="tx1"/>
                  </w14:solidFill>
                </w14:textFill>
                <w:rStyle w:val="8"/>
                <w:b w:val="0"/>
                <w:i w:val="0"/>
                <w:color w:val="000000"/>
                <w:rFonts w:cs="宋体" w:hint="eastAsia"/>
                <w:sz w:val="21"/>
                <w:szCs w:val="21"/>
                <w:caps w:val="0"/>
                <w:shd w:fill="FFFFFF" w:val="clear"/>
              </w:rPr>
              <w:t>0</w:t>
            </w:r>
          </w:p>
        </w:tc>
      </w:tr>
      <w:tr>
        <w:trPr>
          <w:trHeight w:val="43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gridSpan w:val="4"/>
            <w:tcW w:w="903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jc w:val="center"/>
              <w:ind w:right="0"/>
              <w:pageBreakBefore w:val="0"/>
              <w:spacing w:before="0" w:beforeAutospacing="0" w:after="0" w:afterAutospacing="0" w:line="400" w:lineRule="exact"/>
              <w:rPr>
                <w:bCs/>
                <w:iCs w:val="0"/>
                <w:spacing w:val="0"/>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第二十条第</w:t>
            </w:r>
            <w:r>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w:t>
            </w: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八</w:t>
            </w:r>
            <w:r>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w:t>
            </w: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项</w:t>
            </w:r>
          </w:p>
        </w:tc>
      </w:tr>
      <w:tr>
        <w:trPr>
          <w:trHeight w:val="43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信息内容</w:t>
            </w:r>
          </w:p>
        </w:tc>
        <w:tc>
          <w:tcPr>
            <w:gridSpan w:val="3"/>
            <w:tcW w:w="677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jc w:val="center"/>
              <w:ind w:right="0"/>
              <w:pageBreakBefore w:val="0"/>
              <w:spacing w:before="0" w:beforeAutospacing="0" w:after="0" w:afterAutospacing="0" w:line="400" w:lineRule="exact"/>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本年收费金额</w:t>
            </w:r>
            <w:r>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(单位：万元)</w:t>
            </w:r>
          </w:p>
        </w:tc>
      </w:tr>
      <w:tr>
        <w:trPr>
          <w:trHeight w:val="43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ind w:right="0"/>
              <w:pageBreakBefore w:val="0"/>
              <w:spacing w:before="0" w:beforeAutospacing="0" w:after="0" w:afterAutospacing="0" w:line="400" w:lineRule="exact"/>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t>行政事业性收费</w:t>
            </w:r>
          </w:p>
        </w:tc>
        <w:tc>
          <w:tcPr>
            <w:gridSpan w:val="3"/>
            <w:tcW w:w="677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numPr>
                <w:ilvl w:val="0"/>
                <w:numId w:val="0"/>
              </w:numPr>
              <w:jc w:val="center"/>
              <w:ind w:right="0"/>
              <w:pageBreakBefore w:val="0"/>
              <w:spacing w:before="0" w:beforeAutospacing="0" w:after="0" w:afterAutospacing="0" w:line="400" w:lineRule="exact"/>
              <w:rPr>
                <w:bCs/>
                <w:iCs w:val="0"/>
                <w:spacing w:val="0"/>
                <w:lang w:val="en-US" w:eastAsia="zh-CN"/>
                <w14:textFill>
                  <w14:solidFill>
                    <w14:schemeClr w14:val="tx1"/>
                  </w14:solidFill>
                </w14:textFill>
                <w:rStyle w:val="8"/>
                <w:b w:val="0"/>
                <w:i w:val="0"/>
                <w:color w:val="000000"/>
                <w:rFonts w:ascii="宋体" w:cs="宋体" w:eastAsia="宋体" w:hAnsi="宋体" w:hint="eastAsia"/>
                <w:sz w:val="21"/>
                <w:szCs w:val="21"/>
                <w:caps w:val="0"/>
                <w:shd w:fill="FFFFFF" w:val="clear"/>
              </w:rPr>
            </w:pPr>
            <w:r>
              <w:rPr>
                <w:bCs/>
                <w:iCs w:val="0"/>
                <w:spacing w:val="0"/>
                <w:lang w:val="en-US" w:eastAsia="zh-CN"/>
                <w14:textFill>
                  <w14:solidFill>
                    <w14:schemeClr w14:val="tx1"/>
                  </w14:solidFill>
                </w14:textFill>
                <w:rStyle w:val="8"/>
                <w:b w:val="0"/>
                <w:i w:val="0"/>
                <w:color w:val="000000"/>
                <w:rFonts w:cs="宋体" w:hint="eastAsia"/>
                <w:sz w:val="21"/>
                <w:szCs w:val="21"/>
                <w:caps w:val="0"/>
                <w:shd w:fill="FFFFFF" w:val="clear"/>
              </w:rPr>
              <w:t>0</w:t>
            </w:r>
          </w:p>
        </w:tc>
      </w:tr>
    </w:tbl>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4"/>
        <w:ind w:left="0"/>
        <w:ind w:right="0"/>
        <w:ind w:firstLine="0"/>
        <w:pageBreakBefore w:val="0"/>
        <w:spacing w:before="0" w:beforeAutospacing="0" w:after="0" w:afterAutospacing="0" w:line="240" w:lineRule="auto"/>
        <w:rPr>
          <w:iCs w:val="0"/>
          <w:spacing w:val="0"/>
          <w14:textFill>
            <w14:solidFill>
              <w14:schemeClr w14:val="tx1"/>
            </w14:solidFill>
          </w14:textFill>
          <w:i w:val="0"/>
          <w:color w:val="000000"/>
          <w:rFonts w:ascii="微软雅黑" w:cs="微软雅黑" w:eastAsia="微软雅黑" w:hAnsi="微软雅黑" w:hint="eastAsia"/>
          <w:sz w:val="22"/>
          <w:szCs w:val="22"/>
          <w:caps w:val="0"/>
          <w:shd w:fill="FFFFFF" w:val="clear"/>
        </w:rPr>
      </w:pPr>
      <w:r>
        <w:rPr>
          <w:iCs w:val="0"/>
          <w:spacing w:val="0"/>
          <w14:textFill>
            <w14:solidFill>
              <w14:schemeClr w14:val="tx1"/>
            </w14:solidFill>
          </w14:textFill>
          <w:i w:val="0"/>
          <w:color w:val="000000"/>
          <w:rFonts w:ascii="微软雅黑" w:cs="微软雅黑" w:eastAsia="微软雅黑" w:hAnsi="微软雅黑" w:hint="eastAsia"/>
          <w:sz w:val="22"/>
          <w:szCs w:val="22"/>
          <w:caps w:val="0"/>
          <w:shd w:fill="FFFFFF" w:val="clear"/>
        </w:rPr>
        <w:t>　　</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rPr>
          <w:rStyle w:val="8"/>
        </w:rPr>
        <w:pStyle w:val="4"/>
        <w:ind w:left="0"/>
        <w:ind w:right="0"/>
        <w:ind w:firstLine="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黑体" w:cs="黑体" w:eastAsia="黑体" w:hAnsi="黑体" w:hint="eastAsia"/>
          <w:sz w:val="28"/>
          <w:szCs w:val="28"/>
          <w:caps w:val="0"/>
          <w:shd w:fill="FFFFFF" w:val="clear"/>
        </w:rPr>
      </w:pPr>
      <w:r>
        <w:rPr>
          <w:bCs/>
          <w:iCs w:val="0"/>
          <w:spacing w:val="0"/>
          <w:lang w:eastAsia="zh-CN"/>
          <w14:textFill>
            <w14:solidFill>
              <w14:schemeClr w14:val="tx1"/>
            </w14:solidFill>
          </w14:textFill>
          <w:rStyle w:val="8"/>
          <w:b w:val="0"/>
          <w:i w:val="0"/>
          <w:color w:val="000000"/>
          <w:rFonts w:ascii="黑体" w:cs="黑体" w:eastAsia="黑体" w:hAnsi="黑体" w:hint="eastAsia"/>
          <w:sz w:val="28"/>
          <w:szCs w:val="28"/>
          <w:caps w:val="0"/>
          <w:shd w:fill="FFFFFF" w:val="clear"/>
        </w:rPr>
        <w:t>三、收到和处理政府信息公开申请情况</w:t>
      </w:r>
    </w:p>
    <w:tbl>
      <w:tblPr>
        <w:tblW w:w="0" w:type="auto"/>
        <w:tblLayout w:type="autofit"/>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Style w:val="6"/>
      </w:tblPr>
      <w:tblGrid>
        <w:gridCol w:w="777"/>
        <w:gridCol w:w="627"/>
        <w:gridCol w:w="2655"/>
        <w:gridCol w:w="534"/>
        <w:gridCol w:w="654"/>
        <w:gridCol w:w="654"/>
        <w:gridCol w:w="654"/>
        <w:gridCol w:w="654"/>
        <w:gridCol w:w="654"/>
        <w:gridCol w:w="659"/>
      </w:tblGrid>
      <w:tr>
        <w:trPr>
          <w:trHeight w:val="484"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gridSpan w:val="3"/>
            <w:vAlign w:val="center"/>
            <w:vMerge w:val="restart"/>
            <w:tcW w:w="40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（本列表的勾稽关系：第一项加第二项之和，等于第三项加第四项之和）</w:t>
            </w:r>
          </w:p>
        </w:tc>
        <w:tc>
          <w:tcPr>
            <w:gridSpan w:val="7"/>
            <w:vAlign w:val="center"/>
            <w:tcW w:w="4463"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申请人情况</w:t>
            </w:r>
          </w:p>
        </w:tc>
      </w:tr>
      <w:tr>
        <w:trPr>
          <w:trHeight w:val="484" w:hRule="atLeast"/>
        </w:trPr>
        <w:tc>
          <w:tcPr>
            <w:vMerge/>
            <w:gridSpan w:val="3"/>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vMerge w:val="restart"/>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自然人</w:t>
            </w:r>
          </w:p>
        </w:tc>
        <w:tc>
          <w:tcPr>
            <w:gridSpan w:val="5"/>
            <w:vAlign w:val="center"/>
            <w:tcW w:w="3270"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法人或其他组织</w:t>
            </w:r>
          </w:p>
        </w:tc>
        <w:tc>
          <w:tcPr>
            <w:vAlign w:val="center"/>
            <w:vMerge w:val="restart"/>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总计</w:t>
            </w:r>
          </w:p>
        </w:tc>
      </w:tr>
      <w:tr>
        <w:trPr>
          <w:trHeight w:val="484" w:hRule="atLeast"/>
        </w:trPr>
        <w:tc>
          <w:tcPr>
            <w:vMerge/>
            <w:gridSpan w:val="3"/>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商业企业</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科研机构</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社会公益组织</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法律服务机构</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其他</w:t>
            </w:r>
          </w:p>
        </w:tc>
        <w:tc>
          <w:tcPr>
            <w:vMerge/>
          </w:tcPr>
          <w:p/>
        </w:tc>
      </w:tr>
      <w:tr>
        <w:trPr>
          <w:trHeight w:val="354"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gridSpan w:val="3"/>
            <w:vAlign w:val="center"/>
            <w:tcW w:w="40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一、本年新收政府信息公开申请数量</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仿宋" w:cs="仿宋" w:eastAsia="仿宋" w:hAnsi="仿宋" w:hint="default"/>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仿宋" w:cs="仿宋" w:eastAsia="仿宋" w:hAnsi="仿宋" w:hint="default"/>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仿宋" w:cs="仿宋" w:eastAsia="仿宋" w:hAnsi="仿宋" w:hint="default"/>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pStyle w:val="4"/>
              <w:jc w:val="center"/>
              <w:ind w:right="0"/>
              <w:pageBreakBefore w:val="0"/>
              <w:spacing w:before="0" w:beforeAutospacing="0" w:after="0" w:afterAutospacing="0" w:line="240" w:lineRule="auto"/>
              <w:rPr>
                <w:bCs/>
                <w:iCs w:val="0"/>
                <w:spacing w:val="0"/>
                <w:kern w:val="0"/>
                <w:lang w:val="en-US" w:eastAsia="zh-CN" w:bidi="ar-SA"/>
                <w14:textFill>
                  <w14:solidFill>
                    <w14:schemeClr w14:val="tx1"/>
                  </w14:solidFill>
                </w14:textFill>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pStyle w:val="4"/>
              <w:jc w:val="center"/>
              <w:ind w:right="0"/>
              <w:pageBreakBefore w:val="0"/>
              <w:spacing w:before="0" w:beforeAutospacing="0" w:after="0" w:afterAutospacing="0" w:line="240" w:lineRule="auto"/>
              <w:rPr>
                <w:bCs/>
                <w:iCs w:val="0"/>
                <w:spacing w:val="0"/>
                <w:kern w:val="0"/>
                <w:lang w:val="en-US" w:eastAsia="zh-CN" w:bidi="ar-SA"/>
                <w14:textFill>
                  <w14:solidFill>
                    <w14:schemeClr w14:val="tx1"/>
                  </w14:solidFill>
                </w14:textFill>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pStyle w:val="4"/>
              <w:jc w:val="center"/>
              <w:ind w:right="0"/>
              <w:pageBreakBefore w:val="0"/>
              <w:spacing w:before="0" w:beforeAutospacing="0" w:after="0" w:afterAutospacing="0" w:line="240" w:lineRule="auto"/>
              <w:rPr>
                <w:bCs/>
                <w:iCs w:val="0"/>
                <w:spacing w:val="0"/>
                <w:kern w:val="0"/>
                <w:lang w:val="en-US" w:eastAsia="zh-CN" w:bidi="ar-SA"/>
                <w14:textFill>
                  <w14:solidFill>
                    <w14:schemeClr w14:val="tx1"/>
                  </w14:solidFill>
                </w14:textFill>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仿宋" w:cs="仿宋" w:eastAsia="仿宋" w:hAnsi="仿宋" w:hint="default"/>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339"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gridSpan w:val="3"/>
            <w:vAlign w:val="center"/>
            <w:tcW w:w="40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二、上年结转政府信息公开申请数量</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仿宋" w:cs="仿宋" w:eastAsia="仿宋" w:hAnsi="仿宋" w:hint="default"/>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仿宋" w:cs="仿宋" w:eastAsia="仿宋" w:hAnsi="仿宋" w:hint="default"/>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仿宋" w:cs="仿宋" w:eastAsia="仿宋" w:hAnsi="仿宋" w:hint="default"/>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pStyle w:val="4"/>
              <w:jc w:val="center"/>
              <w:ind w:right="0"/>
              <w:pageBreakBefore w:val="0"/>
              <w:spacing w:before="0" w:beforeAutospacing="0" w:after="0" w:afterAutospacing="0" w:line="240" w:lineRule="auto"/>
              <w:rPr>
                <w:bCs/>
                <w:iCs w:val="0"/>
                <w:spacing w:val="0"/>
                <w:kern w:val="0"/>
                <w:lang w:val="en-US" w:eastAsia="zh-CN" w:bidi="ar-SA"/>
                <w14:textFill>
                  <w14:solidFill>
                    <w14:schemeClr w14:val="tx1"/>
                  </w14:solidFill>
                </w14:textFill>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pStyle w:val="4"/>
              <w:jc w:val="center"/>
              <w:ind w:right="0"/>
              <w:pageBreakBefore w:val="0"/>
              <w:spacing w:before="0" w:beforeAutospacing="0" w:after="0" w:afterAutospacing="0" w:line="240" w:lineRule="auto"/>
              <w:rPr>
                <w:bCs/>
                <w:iCs w:val="0"/>
                <w:spacing w:val="0"/>
                <w:kern w:val="0"/>
                <w:lang w:val="en-US" w:eastAsia="zh-CN" w:bidi="ar-SA"/>
                <w14:textFill>
                  <w14:solidFill>
                    <w14:schemeClr w14:val="tx1"/>
                  </w14:solidFill>
                </w14:textFill>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pStyle w:val="4"/>
              <w:jc w:val="center"/>
              <w:ind w:right="0"/>
              <w:pageBreakBefore w:val="0"/>
              <w:spacing w:before="0" w:beforeAutospacing="0" w:after="0" w:afterAutospacing="0" w:line="240" w:lineRule="auto"/>
              <w:rPr>
                <w:bCs/>
                <w:iCs w:val="0"/>
                <w:spacing w:val="0"/>
                <w:kern w:val="0"/>
                <w:lang w:val="en-US" w:eastAsia="zh-CN" w:bidi="ar-SA"/>
                <w14:textFill>
                  <w14:solidFill>
                    <w14:schemeClr w14:val="tx1"/>
                  </w14:solidFill>
                </w14:textFill>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仿宋" w:cs="仿宋" w:eastAsia="仿宋" w:hAnsi="仿宋" w:hint="default"/>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294"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vMerge w:val="restart"/>
            <w:tcW w:w="777"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三、本年度办理结果</w:t>
            </w:r>
          </w:p>
        </w:tc>
        <w:tc>
          <w:tcPr>
            <w:gridSpan w:val="2"/>
            <w:vAlign w:val="center"/>
            <w:tcW w:w="3282"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(一)予以公开</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仿宋" w:cs="仿宋" w:eastAsia="仿宋" w:hAnsi="仿宋" w:hint="default"/>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484" w:hRule="atLeast"/>
        </w:trPr>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gridSpan w:val="2"/>
            <w:vAlign w:val="center"/>
            <w:tcW w:w="3282"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(二)部分公开（区分处理的，只计这一情形，不计其他情形）</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354" w:hRule="atLeast"/>
        </w:trPr>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vMerge w:val="restart"/>
            <w:tcW w:w="627"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(三)不予公开</w:t>
            </w:r>
          </w:p>
        </w:tc>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1.属于国家秘密</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339" w:hRule="atLeast"/>
        </w:trPr>
        <w:tc>
          <w:tcPr>
            <w:vMerge/>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2.其他法律行政法规禁止公开</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339" w:hRule="atLeast"/>
        </w:trPr>
        <w:tc>
          <w:tcPr>
            <w:vMerge/>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3.危及“三安全一稳定”</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339" w:hRule="atLeast"/>
        </w:trPr>
        <w:tc>
          <w:tcPr>
            <w:vMerge/>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4.保护第三方合法权益</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354" w:hRule="atLeast"/>
        </w:trPr>
        <w:tc>
          <w:tcPr>
            <w:vMerge/>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5.属于三类内部事务信息</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339" w:hRule="atLeast"/>
        </w:trPr>
        <w:tc>
          <w:tcPr>
            <w:vMerge/>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6.属于四类过程性信息</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339" w:hRule="atLeast"/>
        </w:trPr>
        <w:tc>
          <w:tcPr>
            <w:vMerge/>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7.属于行政执法案卷</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347" w:hRule="atLeast"/>
        </w:trPr>
        <w:tc>
          <w:tcPr>
            <w:vMerge/>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8.属于行政查询事项</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339" w:hRule="atLeast"/>
        </w:trPr>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vMerge w:val="restart"/>
            <w:tcW w:w="627"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(四)无法提供</w:t>
            </w:r>
          </w:p>
        </w:tc>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1.本机关不掌握相关政府信息</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339" w:hRule="atLeast"/>
        </w:trPr>
        <w:tc>
          <w:tcPr>
            <w:vMerge/>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2.没有现成信息需要另行制作</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354" w:hRule="atLeast"/>
        </w:trPr>
        <w:tc>
          <w:tcPr>
            <w:vMerge/>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3.补正后申请内容仍不明确</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359" w:hRule="atLeast"/>
        </w:trPr>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vMerge w:val="restart"/>
            <w:tcW w:w="627"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(五)不予公开</w:t>
            </w:r>
          </w:p>
        </w:tc>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1.信访举报投诉类申请</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277" w:hRule="atLeast"/>
        </w:trPr>
        <w:tc>
          <w:tcPr>
            <w:vMerge/>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2.重复申请</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324" w:hRule="atLeast"/>
        </w:trPr>
        <w:tc>
          <w:tcPr>
            <w:vMerge/>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3.要求提供公开出版物</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354" w:hRule="atLeast"/>
        </w:trPr>
        <w:tc>
          <w:tcPr>
            <w:vMerge/>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4.无正当理由大量反复申请</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484" w:hRule="atLeast"/>
        </w:trPr>
        <w:tc>
          <w:tcPr>
            <w:vMerge/>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5.要求行政机关确认或新出具已获取信息</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484" w:hRule="atLeast"/>
        </w:trPr>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vMerge w:val="restart"/>
            <w:tcW w:w="627"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(六)其他处理</w:t>
            </w:r>
          </w:p>
        </w:tc>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1.申请人无正当理由逾期不补正、行政机关不再处理其政府信息公开申请</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484" w:hRule="atLeast"/>
        </w:trPr>
        <w:tc>
          <w:tcPr>
            <w:vMerge/>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2.申请人逾期未按收费通知要求缴纳费用、行政机关不再处理其政府信息公开申请</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484" w:hRule="atLeast"/>
        </w:trPr>
        <w:tc>
          <w:tcPr>
            <w:vMerge/>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W w:w="2655"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3.其他</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484" w:hRule="atLeast"/>
        </w:trPr>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gridSpan w:val="2"/>
            <w:vAlign w:val="center"/>
            <w:tcW w:w="3282"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(七)总计</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r>
        <w:trPr>
          <w:trHeight w:val="484"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gridSpan w:val="3"/>
            <w:vAlign w:val="center"/>
            <w:tcW w:w="40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both"/>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8"/>
                <w:szCs w:val="18"/>
                <w:caps w:val="0"/>
                <w:shd w:fill="FFFFFF" w:val="clear"/>
              </w:rPr>
              <w:t>四、结转下年度继续办理</w:t>
            </w:r>
          </w:p>
        </w:tc>
        <w:tc>
          <w:tcPr>
            <w:vAlign w:val="center"/>
            <w:tcW w:w="53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4"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65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bl>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rPr>
          <w:rStyle w:val="8"/>
        </w:rPr>
        <w:pStyle w:val="4"/>
        <w:ind w:left="0"/>
        <w:ind w:right="0"/>
        <w:ind w:firstLine="0"/>
        <w:pageBreakBefore w:val="0"/>
        <w:spacing w:before="0" w:beforeAutospacing="0" w:after="0" w:afterAutospacing="0" w:line="240" w:lineRule="auto"/>
        <w:rPr>
          <w:bCs/>
          <w:iCs w:val="0"/>
          <w:spacing w:val="0"/>
          <w14:textFill>
            <w14:solidFill>
              <w14:schemeClr w14:val="tx1"/>
            </w14:solidFill>
          </w14:textFill>
          <w:rStyle w:val="8"/>
          <w:b w:val="0"/>
          <w:i w:val="0"/>
          <w:color w:val="000000"/>
          <w:rFonts w:ascii="黑体" w:cs="黑体" w:eastAsia="黑体" w:hAnsi="黑体" w:hint="eastAsia"/>
          <w:sz w:val="28"/>
          <w:szCs w:val="28"/>
          <w:caps w:val="0"/>
          <w:shd w:fill="FFFFFF" w:val="clear"/>
        </w:rPr>
      </w:pP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rPr>
          <w:rStyle w:val="8"/>
        </w:rPr>
        <w:pStyle w:val="4"/>
        <w:ind w:left="0"/>
        <w:ind w:right="0"/>
        <w:ind w:firstLine="0"/>
        <w:pageBreakBefore w:val="0"/>
        <w:spacing w:before="0" w:beforeAutospacing="0" w:after="0" w:afterAutospacing="0" w:line="240" w:lineRule="auto"/>
        <w:rPr>
          <w:bCs/>
          <w:iCs w:val="0"/>
          <w:spacing w:val="0"/>
          <w14:textFill>
            <w14:solidFill>
              <w14:schemeClr w14:val="tx1"/>
            </w14:solidFill>
          </w14:textFill>
          <w:rStyle w:val="8"/>
          <w:b w:val="0"/>
          <w:i w:val="0"/>
          <w:color w:val="000000"/>
          <w:rFonts w:ascii="黑体" w:cs="黑体" w:eastAsia="黑体" w:hAnsi="黑体" w:hint="eastAsia"/>
          <w:sz w:val="28"/>
          <w:szCs w:val="28"/>
          <w:caps w:val="0"/>
          <w:shd w:fill="FFFFFF" w:val="clear"/>
        </w:rPr>
      </w:pPr>
      <w:r>
        <w:rPr>
          <w:bCs/>
          <w:iCs w:val="0"/>
          <w:spacing w:val="0"/>
          <w14:textFill>
            <w14:solidFill>
              <w14:schemeClr w14:val="tx1"/>
            </w14:solidFill>
          </w14:textFill>
          <w:rStyle w:val="8"/>
          <w:b w:val="0"/>
          <w:i w:val="0"/>
          <w:color w:val="000000"/>
          <w:rFonts w:ascii="黑体" w:cs="黑体" w:eastAsia="黑体" w:hAnsi="黑体" w:hint="eastAsia"/>
          <w:sz w:val="28"/>
          <w:szCs w:val="28"/>
          <w:caps w:val="0"/>
          <w:shd w:fill="FFFFFF" w:val="clear"/>
        </w:rPr>
        <w:t>四、政府信息公开行政复议、行政诉讼情况</w:t>
      </w:r>
    </w:p>
    <w:tbl>
      <w:tblPr>
        <w:tblW w:w="0" w:type="auto"/>
        <w:tblLayout w:type="autofit"/>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Style w:val="6"/>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gridSpan w:val="5"/>
            <w:vAlign w:val="center"/>
            <w:tcW w:w="2840"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行政复议</w:t>
            </w:r>
          </w:p>
        </w:tc>
        <w:tc>
          <w:tcPr>
            <w:gridSpan w:val="10"/>
            <w:vAlign w:val="center"/>
            <w:tcW w:w="5682"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vMerge w:val="restart"/>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结果</w:t>
            </w:r>
          </w:p>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维持</w:t>
            </w:r>
          </w:p>
        </w:tc>
        <w:tc>
          <w:tcPr>
            <w:vAlign w:val="center"/>
            <w:vMerge w:val="restart"/>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结果</w:t>
            </w:r>
          </w:p>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纠正</w:t>
            </w:r>
          </w:p>
        </w:tc>
        <w:tc>
          <w:tcPr>
            <w:vAlign w:val="center"/>
            <w:vMerge w:val="restart"/>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其他</w:t>
            </w:r>
          </w:p>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结果</w:t>
            </w:r>
          </w:p>
        </w:tc>
        <w:tc>
          <w:tcPr>
            <w:vAlign w:val="center"/>
            <w:vMerge w:val="restart"/>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尚未</w:t>
            </w:r>
          </w:p>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审结</w:t>
            </w:r>
          </w:p>
        </w:tc>
        <w:tc>
          <w:tcPr>
            <w:vAlign w:val="center"/>
            <w:vMerge w:val="restart"/>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总计</w:t>
            </w:r>
          </w:p>
        </w:tc>
        <w:tc>
          <w:tcPr>
            <w:gridSpan w:val="5"/>
            <w:vAlign w:val="center"/>
            <w:tcW w:w="2840"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未经复议直接起诉</w:t>
            </w:r>
          </w:p>
        </w:tc>
        <w:tc>
          <w:tcPr>
            <w:gridSpan w:val="5"/>
            <w:vAlign w:val="center"/>
            <w:tcW w:w="2842"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复议后起诉</w:t>
            </w:r>
          </w:p>
        </w:tc>
      </w:tr>
      <w:tr>
        <w:trPr>
          <w:trHeight w:val="869" w:hRule="atLeast"/>
        </w:trPr>
        <w:tc>
          <w:tcPr>
            <w:vMerge/>
          </w:tcPr>
          <w:p/>
        </w:tc>
        <w:tc>
          <w:tcPr>
            <w:vMerge/>
          </w:tcPr>
          <w:p/>
        </w:tc>
        <w:tc>
          <w:tcPr>
            <w:vMerge/>
          </w:tcPr>
          <w:p/>
        </w:tc>
        <w:tc>
          <w:tcPr>
            <w:vMerge/>
          </w:tcPr>
          <w:p/>
        </w:tc>
        <w:tc>
          <w:tcPr>
            <w:vMerge/>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结果</w:t>
            </w:r>
          </w:p>
          <w:p>
            <w:pPr>
              <w:keepNext w:val="0"/>
              <w:keepLines w:val="0"/>
              <w:widowControl/>
              <w:suppressLineNumbers w:val="0"/>
              <w:kinsoku/>
              <w:wordWrap/>
              <w:overflowPunct/>
              <w:topLinePunct w:val="0"/>
              <w:autoSpaceDE/>
              <w:autoSpaceDN/>
              <w:bidi w:val="0"/>
              <w:adjustRightInd/>
              <w:snapToGrid/>
              <w:textAlignment w:val="auto"/>
              <w:pStyle w:val="4"/>
              <w:jc w:val="center"/>
              <w:ind w:left="0"/>
              <w:ind w:right="0"/>
              <w:pageBreakBefore w:val="0"/>
              <w:spacing w:before="0" w:beforeAutospacing="0" w:after="0" w:afterAutospacing="0" w:line="240" w:lineRule="auto"/>
              <w:rPr>
                <w:bCs/>
                <w:iCs w:val="0"/>
                <w:spacing w:val="0"/>
                <w:kern w:val="0"/>
                <w:lang w:val="en-US" w:eastAsia="zh-CN" w:bidi="ar"/>
                <w14:textFill>
                  <w14:solidFill>
                    <w14:schemeClr w14:val="tx1"/>
                  </w14:solidFill>
                </w14:textFill>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维持</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结果</w:t>
            </w:r>
          </w:p>
          <w:p>
            <w:pPr>
              <w:keepNext w:val="0"/>
              <w:keepLines w:val="0"/>
              <w:widowControl/>
              <w:suppressLineNumbers w:val="0"/>
              <w:kinsoku/>
              <w:wordWrap/>
              <w:overflowPunct/>
              <w:topLinePunct w:val="0"/>
              <w:autoSpaceDE/>
              <w:autoSpaceDN/>
              <w:bidi w:val="0"/>
              <w:adjustRightInd/>
              <w:snapToGrid/>
              <w:textAlignment w:val="auto"/>
              <w:pStyle w:val="4"/>
              <w:jc w:val="center"/>
              <w:ind w:left="0"/>
              <w:ind w:right="0"/>
              <w:pageBreakBefore w:val="0"/>
              <w:spacing w:before="0" w:beforeAutospacing="0" w:after="0" w:afterAutospacing="0" w:line="240" w:lineRule="auto"/>
              <w:rPr>
                <w:bCs/>
                <w:iCs w:val="0"/>
                <w:spacing w:val="0"/>
                <w:kern w:val="0"/>
                <w:lang w:val="en-US" w:eastAsia="zh-CN" w:bidi="ar"/>
                <w14:textFill>
                  <w14:solidFill>
                    <w14:schemeClr w14:val="tx1"/>
                  </w14:solidFill>
                </w14:textFill>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纠正</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其他</w:t>
            </w:r>
          </w:p>
          <w:p>
            <w:pPr>
              <w:keepNext w:val="0"/>
              <w:keepLines w:val="0"/>
              <w:widowControl/>
              <w:suppressLineNumbers w:val="0"/>
              <w:kinsoku/>
              <w:wordWrap/>
              <w:overflowPunct/>
              <w:topLinePunct w:val="0"/>
              <w:autoSpaceDE/>
              <w:autoSpaceDN/>
              <w:bidi w:val="0"/>
              <w:adjustRightInd/>
              <w:snapToGrid/>
              <w:textAlignment w:val="auto"/>
              <w:pStyle w:val="4"/>
              <w:jc w:val="center"/>
              <w:ind w:left="0"/>
              <w:ind w:right="0"/>
              <w:pageBreakBefore w:val="0"/>
              <w:spacing w:before="0" w:beforeAutospacing="0" w:after="0" w:afterAutospacing="0" w:line="240" w:lineRule="auto"/>
              <w:rPr>
                <w:bCs/>
                <w:iCs w:val="0"/>
                <w:spacing w:val="0"/>
                <w:kern w:val="0"/>
                <w:lang w:val="en-US" w:eastAsia="zh-CN" w:bidi="ar"/>
                <w14:textFill>
                  <w14:solidFill>
                    <w14:schemeClr w14:val="tx1"/>
                  </w14:solidFill>
                </w14:textFill>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结果</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尚未</w:t>
            </w:r>
          </w:p>
          <w:p>
            <w:pPr>
              <w:keepNext w:val="0"/>
              <w:keepLines w:val="0"/>
              <w:widowControl/>
              <w:suppressLineNumbers w:val="0"/>
              <w:kinsoku/>
              <w:wordWrap/>
              <w:overflowPunct/>
              <w:topLinePunct w:val="0"/>
              <w:autoSpaceDE/>
              <w:autoSpaceDN/>
              <w:bidi w:val="0"/>
              <w:adjustRightInd/>
              <w:snapToGrid/>
              <w:textAlignment w:val="auto"/>
              <w:pStyle w:val="4"/>
              <w:jc w:val="center"/>
              <w:ind w:left="0"/>
              <w:ind w:right="0"/>
              <w:pageBreakBefore w:val="0"/>
              <w:spacing w:before="0" w:beforeAutospacing="0" w:after="0" w:afterAutospacing="0" w:line="240" w:lineRule="auto"/>
              <w:rPr>
                <w:bCs/>
                <w:iCs w:val="0"/>
                <w:spacing w:val="0"/>
                <w:kern w:val="0"/>
                <w:lang w:val="en-US" w:eastAsia="zh-CN" w:bidi="ar"/>
                <w14:textFill>
                  <w14:solidFill>
                    <w14:schemeClr w14:val="tx1"/>
                  </w14:solidFill>
                </w14:textFill>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审结</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pStyle w:val="4"/>
              <w:jc w:val="center"/>
              <w:ind w:left="0"/>
              <w:ind w:right="0"/>
              <w:pageBreakBefore w:val="0"/>
              <w:spacing w:before="0" w:beforeAutospacing="0" w:after="0" w:afterAutospacing="0" w:line="240" w:lineRule="auto"/>
              <w:rPr>
                <w:bCs/>
                <w:iCs w:val="0"/>
                <w:spacing w:val="0"/>
                <w:kern w:val="0"/>
                <w:lang w:val="en-US" w:eastAsia="zh-CN" w:bidi="ar"/>
                <w14:textFill>
                  <w14:solidFill>
                    <w14:schemeClr w14:val="tx1"/>
                  </w14:solidFill>
                </w14:textFill>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总计</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结果</w:t>
            </w:r>
          </w:p>
          <w:p>
            <w:pPr>
              <w:keepNext w:val="0"/>
              <w:keepLines w:val="0"/>
              <w:widowControl/>
              <w:suppressLineNumbers w:val="0"/>
              <w:kinsoku/>
              <w:wordWrap/>
              <w:overflowPunct/>
              <w:topLinePunct w:val="0"/>
              <w:autoSpaceDE/>
              <w:autoSpaceDN/>
              <w:bidi w:val="0"/>
              <w:adjustRightInd/>
              <w:snapToGrid/>
              <w:textAlignment w:val="auto"/>
              <w:pStyle w:val="4"/>
              <w:jc w:val="center"/>
              <w:ind w:left="0"/>
              <w:ind w:right="0"/>
              <w:pageBreakBefore w:val="0"/>
              <w:spacing w:before="0" w:beforeAutospacing="0" w:after="0" w:afterAutospacing="0" w:line="240" w:lineRule="auto"/>
              <w:rPr>
                <w:bCs/>
                <w:iCs w:val="0"/>
                <w:spacing w:val="0"/>
                <w:kern w:val="0"/>
                <w:lang w:val="en-US" w:eastAsia="zh-CN" w:bidi="ar"/>
                <w14:textFill>
                  <w14:solidFill>
                    <w14:schemeClr w14:val="tx1"/>
                  </w14:solidFill>
                </w14:textFill>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维持</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结果</w:t>
            </w:r>
          </w:p>
          <w:p>
            <w:pPr>
              <w:keepNext w:val="0"/>
              <w:keepLines w:val="0"/>
              <w:widowControl/>
              <w:suppressLineNumbers w:val="0"/>
              <w:kinsoku/>
              <w:wordWrap/>
              <w:overflowPunct/>
              <w:topLinePunct w:val="0"/>
              <w:autoSpaceDE/>
              <w:autoSpaceDN/>
              <w:bidi w:val="0"/>
              <w:adjustRightInd/>
              <w:snapToGrid/>
              <w:textAlignment w:val="auto"/>
              <w:pStyle w:val="4"/>
              <w:jc w:val="center"/>
              <w:ind w:left="0"/>
              <w:ind w:right="0"/>
              <w:pageBreakBefore w:val="0"/>
              <w:spacing w:before="0" w:beforeAutospacing="0" w:after="0" w:afterAutospacing="0" w:line="240" w:lineRule="auto"/>
              <w:rPr>
                <w:bCs/>
                <w:iCs w:val="0"/>
                <w:spacing w:val="0"/>
                <w:kern w:val="0"/>
                <w:lang w:val="en-US" w:eastAsia="zh-CN" w:bidi="ar"/>
                <w14:textFill>
                  <w14:solidFill>
                    <w14:schemeClr w14:val="tx1"/>
                  </w14:solidFill>
                </w14:textFill>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纠正</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其他</w:t>
            </w:r>
          </w:p>
          <w:p>
            <w:pPr>
              <w:keepNext w:val="0"/>
              <w:keepLines w:val="0"/>
              <w:widowControl/>
              <w:suppressLineNumbers w:val="0"/>
              <w:kinsoku/>
              <w:wordWrap/>
              <w:overflowPunct/>
              <w:topLinePunct w:val="0"/>
              <w:autoSpaceDE/>
              <w:autoSpaceDN/>
              <w:bidi w:val="0"/>
              <w:adjustRightInd/>
              <w:snapToGrid/>
              <w:textAlignment w:val="auto"/>
              <w:pStyle w:val="4"/>
              <w:jc w:val="center"/>
              <w:ind w:left="0"/>
              <w:ind w:right="0"/>
              <w:pageBreakBefore w:val="0"/>
              <w:spacing w:before="0" w:beforeAutospacing="0" w:after="0" w:afterAutospacing="0" w:line="240" w:lineRule="auto"/>
              <w:rPr>
                <w:bCs/>
                <w:iCs w:val="0"/>
                <w:spacing w:val="0"/>
                <w:kern w:val="0"/>
                <w:lang w:val="en-US" w:eastAsia="zh-CN" w:bidi="ar"/>
                <w14:textFill>
                  <w14:solidFill>
                    <w14:schemeClr w14:val="tx1"/>
                  </w14:solidFill>
                </w14:textFill>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结果</w:t>
            </w:r>
          </w:p>
        </w:tc>
        <w:tc>
          <w:tcPr>
            <w:vAlign w:val="center"/>
            <w:tcW w:w="56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尚未</w:t>
            </w:r>
          </w:p>
          <w:p>
            <w:pPr>
              <w:keepNext w:val="0"/>
              <w:keepLines w:val="0"/>
              <w:widowControl/>
              <w:suppressLineNumbers w:val="0"/>
              <w:kinsoku/>
              <w:wordWrap/>
              <w:overflowPunct/>
              <w:topLinePunct w:val="0"/>
              <w:autoSpaceDE/>
              <w:autoSpaceDN/>
              <w:bidi w:val="0"/>
              <w:adjustRightInd/>
              <w:snapToGrid/>
              <w:textAlignment w:val="auto"/>
              <w:pStyle w:val="4"/>
              <w:jc w:val="center"/>
              <w:ind w:left="0"/>
              <w:ind w:right="0"/>
              <w:pageBreakBefore w:val="0"/>
              <w:spacing w:before="0" w:beforeAutospacing="0" w:after="0" w:afterAutospacing="0" w:line="240" w:lineRule="auto"/>
              <w:rPr>
                <w:bCs/>
                <w:iCs w:val="0"/>
                <w:spacing w:val="0"/>
                <w:kern w:val="0"/>
                <w:lang w:val="en-US" w:eastAsia="zh-CN" w:bidi="ar"/>
                <w14:textFill>
                  <w14:solidFill>
                    <w14:schemeClr w14:val="tx1"/>
                  </w14:solidFill>
                </w14:textFill>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审结</w:t>
            </w:r>
          </w:p>
        </w:tc>
        <w:tc>
          <w:tcPr>
            <w:vAlign w:val="center"/>
            <w:tcW w:w="569" w:type="dxa"/>
          </w:tcPr>
          <w:p>
            <w:pPr>
              <w:keepNext w:val="0"/>
              <w:keepLines w:val="0"/>
              <w:widowControl/>
              <w:suppressLineNumbers w:val="0"/>
              <w:kinsoku/>
              <w:wordWrap/>
              <w:overflowPunct/>
              <w:topLinePunct w:val="0"/>
              <w:autoSpaceDE/>
              <w:autoSpaceDN/>
              <w:bidi w:val="0"/>
              <w:adjustRightInd/>
              <w:snapToGrid/>
              <w:textAlignment w:val="auto"/>
              <w:pStyle w:val="4"/>
              <w:jc w:val="center"/>
              <w:ind w:left="0"/>
              <w:ind w:right="0"/>
              <w:pageBreakBefore w:val="0"/>
              <w:spacing w:before="0" w:beforeAutospacing="0" w:after="0" w:afterAutospacing="0" w:line="240" w:lineRule="auto"/>
              <w:rPr>
                <w:bCs/>
                <w:iCs w:val="0"/>
                <w:spacing w:val="0"/>
                <w:kern w:val="0"/>
                <w:lang w:val="en-US" w:eastAsia="zh-CN" w:bidi="ar"/>
                <w14:textFill>
                  <w14:solidFill>
                    <w14:schemeClr w14:val="tx1"/>
                  </w14:solidFill>
                </w14:textFill>
                <w:b w:val="0"/>
                <w:i w:val="0"/>
                <w:color w:val="000000"/>
                <w:rFonts w:ascii="宋体" w:cs="宋体" w:eastAsia="宋体" w:hAnsi="宋体" w:hint="eastAsia"/>
                <w:sz w:val="15"/>
                <w:szCs w:val="15"/>
                <w:caps w:val="0"/>
                <w:shd w:fill="FFFFFF" w:val="clear"/>
              </w:rPr>
            </w:pPr>
            <w:r>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t>总计</w:t>
            </w:r>
          </w:p>
        </w:tc>
      </w:tr>
      <w:tr>
        <w:trPr>
          <w:trHeight w:val="822"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568"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56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c>
          <w:tcPr>
            <w:vAlign w:val="center"/>
            <w:tcW w:w="569" w:type="dxa"/>
          </w:tcPr>
          <w:p>
            <w:pPr>
              <w:keepNext w:val="0"/>
              <w:keepLines w:val="0"/>
              <w:widowControl/>
              <w:suppressLineNumbers w:val="0"/>
              <w:kinsoku/>
              <w:wordWrap/>
              <w:overflowPunct/>
              <w:topLinePunct w:val="0"/>
              <w:autoSpaceDE/>
              <w:autoSpaceDN/>
              <w:bidi w:val="0"/>
              <w:adjustRightInd/>
              <w:snapToGrid/>
              <w:textAlignment w:val="auto"/>
              <w:rPr>
                <w:rStyle w:val="8"/>
              </w:rPr>
              <w:pStyle w:val="4"/>
              <w:jc w:val="center"/>
              <w:ind w:right="0"/>
              <w:pageBreakBefore w:val="0"/>
              <w:spacing w:before="0" w:beforeAutospacing="0" w:after="0" w:afterAutospacing="0" w:line="240" w:lineRule="auto"/>
              <w:rPr>
                <w:bCs/>
                <w:iCs w:val="0"/>
                <w:spacing w:val="0"/>
                <w:lang w:eastAsia="zh-CN"/>
                <w14:textFill>
                  <w14:solidFill>
                    <w14:schemeClr w14:val="tx1"/>
                  </w14:solidFill>
                </w14:textFill>
                <w:rStyle w:val="8"/>
                <w:b w:val="0"/>
                <w:i w:val="0"/>
                <w:color w:val="000000"/>
                <w:rFonts w:ascii="宋体" w:cs="宋体" w:eastAsia="宋体" w:hAnsi="宋体" w:hint="eastAsia"/>
                <w:sz w:val="15"/>
                <w:szCs w:val="15"/>
                <w:caps w:val="0"/>
                <w:shd w:fill="FFFFFF" w:val="clear"/>
              </w:rPr>
            </w:pPr>
            <w:r>
              <w:rPr>
                <w:bCs/>
                <w:iCs w:val="0"/>
                <w:spacing w:val="0"/>
                <w:lang w:val="en-US" w:eastAsia="zh-CN"/>
                <w14:textFill>
                  <w14:solidFill>
                    <w14:schemeClr w14:val="tx1"/>
                  </w14:solidFill>
                </w14:textFill>
                <w:rStyle w:val="8"/>
                <w:b w:val="0"/>
                <w:i w:val="0"/>
                <w:color w:val="000000"/>
                <w:rFonts w:ascii="仿宋" w:cs="仿宋" w:eastAsia="仿宋" w:hAnsi="仿宋" w:hint="eastAsia"/>
                <w:sz w:val="18"/>
                <w:szCs w:val="18"/>
                <w:caps w:val="0"/>
                <w:shd w:fill="FFFFFF" w:val="clear"/>
              </w:rPr>
              <w:t>0</w:t>
            </w:r>
          </w:p>
        </w:tc>
      </w:tr>
    </w:tbl>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rPr>
          <w:rStyle w:val="8"/>
        </w:rPr>
        <w:pStyle w:val="4"/>
        <w:ind w:left="0"/>
        <w:ind w:right="0"/>
        <w:ind w:firstLine="0"/>
        <w:pageBreakBefore w:val="0"/>
        <w:spacing w:before="0" w:beforeAutospacing="0" w:after="0" w:afterAutospacing="0" w:line="240" w:lineRule="auto"/>
        <w:rPr>
          <w:bCs/>
          <w:iCs w:val="0"/>
          <w:spacing w:val="0"/>
          <w14:textFill>
            <w14:solidFill>
              <w14:schemeClr w14:val="tx1"/>
            </w14:solidFill>
          </w14:textFill>
          <w:rStyle w:val="8"/>
          <w:b w:val="0"/>
          <w:i w:val="0"/>
          <w:color w:val="000000"/>
          <w:rFonts w:ascii="黑体" w:cs="黑体" w:eastAsia="黑体" w:hAnsi="黑体" w:hint="eastAsia"/>
          <w:sz w:val="28"/>
          <w:szCs w:val="28"/>
          <w:caps w:val="0"/>
          <w:shd w:fill="FFFFFF" w:val="clear"/>
        </w:rPr>
      </w:pP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rPr>
          <w:rStyle w:val="8"/>
        </w:rPr>
        <w:pStyle w:val="4"/>
        <w:numPr>
          <w:ilvl w:val="0"/>
          <w:numId w:val="3"/>
        </w:numPr>
        <w:ind w:left="0"/>
        <w:ind w:right="0"/>
        <w:ind w:firstLine="0"/>
        <w:pageBreakBefore w:val="0"/>
        <w:spacing w:before="0" w:beforeAutospacing="0" w:after="0" w:afterAutospacing="0" w:line="240" w:lineRule="auto"/>
        <w:rPr>
          <w:bCs/>
          <w:iCs w:val="0"/>
          <w:spacing w:val="0"/>
          <w14:textFill>
            <w14:solidFill>
              <w14:schemeClr w14:val="tx1"/>
            </w14:solidFill>
          </w14:textFill>
          <w:rStyle w:val="8"/>
          <w:b w:val="0"/>
          <w:i w:val="0"/>
          <w:color w:val="000000"/>
          <w:rFonts w:ascii="黑体" w:cs="黑体" w:eastAsia="黑体" w:hAnsi="黑体" w:hint="eastAsia"/>
          <w:sz w:val="28"/>
          <w:szCs w:val="28"/>
          <w:caps w:val="0"/>
          <w:shd w:fill="FFFFFF" w:val="clear"/>
        </w:rPr>
      </w:pPr>
      <w:r>
        <w:rPr>
          <w:bCs/>
          <w:iCs w:val="0"/>
          <w:spacing w:val="0"/>
          <w14:textFill>
            <w14:solidFill>
              <w14:schemeClr w14:val="tx1"/>
            </w14:solidFill>
          </w14:textFill>
          <w:rStyle w:val="8"/>
          <w:b w:val="0"/>
          <w:i w:val="0"/>
          <w:color w:val="000000"/>
          <w:rFonts w:ascii="黑体" w:cs="黑体" w:eastAsia="黑体" w:hAnsi="黑体" w:hint="eastAsia"/>
          <w:sz w:val="28"/>
          <w:szCs w:val="28"/>
          <w:caps w:val="0"/>
          <w:shd w:fill="FFFFFF" w:val="clear"/>
        </w:rPr>
        <w:t>存在的主要问题及改进情况</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4"/>
        <w:ind w:left="0"/>
        <w:ind w:right="0"/>
        <w:ind w:firstLine="620"/>
        <w:pageBreakBefore w:val="0"/>
        <w:spacing w:before="0" w:beforeAutospacing="0" w:after="0" w:afterAutospacing="0" w:line="600" w:lineRule="exact"/>
        <w:rPr>
          <w:iCs w:val="0"/>
          <w:spacing w:val="0"/>
          <w:lang w:eastAsia="zh-CN"/>
          <w:i w:val="0"/>
          <w:color w:val="000000"/>
          <w:highlight w:val="none"/>
          <w:rFonts w:ascii="仿宋_GB2312" w:cs="仿宋_GB2312" w:eastAsia="仿宋_GB2312" w:hAnsi="仿宋_GB2312" w:hint="eastAsia"/>
          <w:sz w:val="31"/>
          <w:szCs w:val="31"/>
          <w:caps w:val="0"/>
          <w:shd w:fill="FFFFFF" w:val="clear"/>
        </w:rPr>
      </w:pPr>
      <w:r>
        <w:rPr>
          <w:iCs w:val="0"/>
          <w:spacing w:val="0"/>
          <w:i w:val="0"/>
          <w:color w:val="000000"/>
          <w:highlight w:val="none"/>
          <w:rFonts w:ascii="仿宋_GB2312" w:cs="仿宋_GB2312" w:eastAsia="仿宋_GB2312" w:hAnsi="仿宋_GB2312" w:hint="eastAsia"/>
          <w:sz w:val="31"/>
          <w:szCs w:val="31"/>
          <w:caps w:val="0"/>
          <w:shd w:fill="FFFFFF" w:val="clear"/>
        </w:rPr>
        <w:t>主要问题：</w:t>
      </w:r>
      <w:r>
        <w:rPr>
          <w:iCs w:val="0"/>
          <w:spacing w:val="0"/>
          <w:lang w:eastAsia="zh-CN"/>
          <w:i w:val="0"/>
          <w:color w:val="000000"/>
          <w:highlight w:val="none"/>
          <w:rFonts w:ascii="仿宋_GB2312" w:cs="仿宋_GB2312" w:eastAsia="仿宋_GB2312" w:hAnsi="仿宋_GB2312" w:hint="eastAsia"/>
          <w:sz w:val="31"/>
          <w:szCs w:val="31"/>
          <w:caps w:val="0"/>
          <w:shd w:fill="FFFFFF" w:val="clear"/>
        </w:rPr>
        <w:t>一是信息公开不及时，相关栏目未能</w:t>
      </w:r>
      <w:r>
        <w:rPr>
          <w:iCs w:val="0"/>
          <w:spacing w:val="0"/>
          <w:i w:val="0"/>
          <w:color w:val="000000"/>
          <w:highlight w:val="none"/>
          <w:rFonts w:ascii="仿宋_GB2312" w:cs="仿宋_GB2312" w:eastAsia="仿宋_GB2312" w:hAnsi="仿宋_GB2312" w:hint="eastAsia"/>
          <w:sz w:val="31"/>
          <w:szCs w:val="31"/>
          <w:caps w:val="0"/>
          <w:shd w:fill="FFFFFF" w:val="clear"/>
        </w:rPr>
        <w:t>定期更新内容</w:t>
      </w:r>
      <w:r>
        <w:rPr>
          <w:iCs w:val="0"/>
          <w:spacing w:val="0"/>
          <w:lang w:val="en-US" w:eastAsia="zh-CN"/>
          <w:i w:val="0"/>
          <w:color w:val="000000"/>
          <w:highlight w:val="none"/>
          <w:rFonts w:ascii="仿宋_GB2312" w:cs="仿宋_GB2312" w:eastAsia="仿宋_GB2312" w:hAnsi="仿宋_GB2312" w:hint="eastAsia"/>
          <w:sz w:val="31"/>
          <w:szCs w:val="31"/>
          <w:caps w:val="0"/>
          <w:shd w:fill="FFFFFF" w:val="clear"/>
        </w:rPr>
        <w:t>;二是</w:t>
      </w:r>
      <w:r>
        <w:rPr>
          <w:iCs w:val="0"/>
          <w:spacing w:val="0"/>
          <w:i w:val="0"/>
          <w:color w:val="000000"/>
          <w:highlight w:val="none"/>
          <w:rFonts w:ascii="仿宋_GB2312" w:cs="仿宋_GB2312" w:eastAsia="仿宋_GB2312" w:hAnsi="仿宋_GB2312" w:hint="eastAsia"/>
          <w:sz w:val="31"/>
          <w:szCs w:val="31"/>
          <w:caps w:val="0"/>
          <w:shd w:fill="FFFFFF" w:val="clear"/>
        </w:rPr>
        <w:t>信息</w:t>
      </w:r>
      <w:r>
        <w:rPr>
          <w:iCs w:val="0"/>
          <w:spacing w:val="0"/>
          <w:lang w:eastAsia="zh-CN"/>
          <w:i w:val="0"/>
          <w:color w:val="000000"/>
          <w:highlight w:val="none"/>
          <w:rFonts w:ascii="仿宋_GB2312" w:cs="仿宋_GB2312" w:eastAsia="仿宋_GB2312" w:hAnsi="仿宋_GB2312" w:hint="eastAsia"/>
          <w:sz w:val="31"/>
          <w:szCs w:val="31"/>
          <w:caps w:val="0"/>
          <w:shd w:fill="FFFFFF" w:val="clear"/>
        </w:rPr>
        <w:t>更新数量，尤其是</w:t>
      </w:r>
      <w:r>
        <w:rPr>
          <w:iCs w:val="0"/>
          <w:spacing w:val="0"/>
          <w:i w:val="0"/>
          <w:color w:val="000000"/>
          <w:highlight w:val="none"/>
          <w:rFonts w:ascii="仿宋_GB2312" w:cs="仿宋_GB2312" w:eastAsia="仿宋_GB2312" w:hAnsi="仿宋_GB2312" w:hint="default"/>
          <w:sz w:val="31"/>
          <w:szCs w:val="31"/>
          <w:caps w:val="0"/>
          <w:shd w:fill="FFFFFF" w:val="clear"/>
        </w:rPr>
        <w:t>养老服务、社会救助和福利两大领域</w:t>
      </w:r>
      <w:r>
        <w:rPr>
          <w:iCs w:val="0"/>
          <w:spacing w:val="0"/>
          <w:lang w:eastAsia="zh-CN"/>
          <w:i w:val="0"/>
          <w:color w:val="000000"/>
          <w:highlight w:val="none"/>
          <w:rFonts w:ascii="仿宋_GB2312" w:cs="仿宋_GB2312" w:eastAsia="仿宋_GB2312" w:hAnsi="仿宋_GB2312" w:hint="eastAsia"/>
          <w:sz w:val="31"/>
          <w:szCs w:val="31"/>
          <w:caps w:val="0"/>
          <w:shd w:fill="FFFFFF" w:val="clear"/>
        </w:rPr>
        <w:t>的更新需要进一步加强。</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4"/>
        <w:ind w:left="0"/>
        <w:ind w:right="0"/>
        <w:ind w:firstLine="620"/>
        <w:pageBreakBefore w:val="0"/>
        <w:spacing w:before="0" w:beforeAutospacing="0" w:after="0" w:afterAutospacing="0" w:line="600" w:lineRule="exact"/>
        <w:rPr>
          <w:iCs w:val="0"/>
          <w:spacing w:val="0"/>
          <w:lang w:eastAsia="zh-CN"/>
          <w:i w:val="0"/>
          <w:color w:val="000000"/>
          <w:highlight w:val="none"/>
          <w:rFonts w:ascii="仿宋_GB2312" w:cs="仿宋_GB2312" w:eastAsia="仿宋_GB2312" w:hAnsi="仿宋_GB2312" w:hint="eastAsia"/>
          <w:sz w:val="31"/>
          <w:szCs w:val="31"/>
          <w:caps w:val="0"/>
          <w:shd w:fill="FFFFFF" w:val="clear"/>
        </w:rPr>
      </w:pPr>
      <w:r>
        <w:rPr>
          <w:iCs w:val="0"/>
          <w:spacing w:val="0"/>
          <w:i w:val="0"/>
          <w:color w:val="000000"/>
          <w:highlight w:val="none"/>
          <w:rFonts w:ascii="仿宋_GB2312" w:cs="仿宋_GB2312" w:eastAsia="仿宋_GB2312" w:hAnsi="仿宋_GB2312" w:hint="eastAsia"/>
          <w:sz w:val="31"/>
          <w:szCs w:val="31"/>
          <w:caps w:val="0"/>
          <w:shd w:fill="FFFFFF" w:val="clear"/>
        </w:rPr>
        <w:t>下一步，我们将进一步结合实际，提高公开实效。</w:t>
      </w:r>
      <w:r>
        <w:rPr>
          <w:iCs w:val="0"/>
          <w:spacing w:val="0"/>
          <w:lang w:eastAsia="zh-CN"/>
          <w:i w:val="0"/>
          <w:color w:val="000000"/>
          <w:highlight w:val="none"/>
          <w:rFonts w:ascii="仿宋_GB2312" w:cs="仿宋_GB2312" w:eastAsia="仿宋_GB2312" w:hAnsi="仿宋_GB2312" w:hint="eastAsia"/>
          <w:sz w:val="31"/>
          <w:szCs w:val="31"/>
          <w:caps w:val="0"/>
          <w:shd w:fill="FFFFFF" w:val="clear"/>
        </w:rPr>
        <w:t>一是</w:t>
      </w:r>
      <w:r>
        <w:rPr>
          <w:iCs w:val="0"/>
          <w:spacing w:val="0"/>
          <w:i w:val="0"/>
          <w:color w:val="000000"/>
          <w:highlight w:val="none"/>
          <w:rFonts w:ascii="仿宋_GB2312" w:cs="仿宋_GB2312" w:eastAsia="仿宋_GB2312" w:hAnsi="仿宋_GB2312" w:hint="eastAsia"/>
          <w:sz w:val="31"/>
          <w:szCs w:val="31"/>
          <w:caps w:val="0"/>
          <w:shd w:fill="FFFFFF" w:val="clear"/>
        </w:rPr>
        <w:t>认真组织学习政府信息公开相关政策法规，积极参加上级组织开展的宣传培训</w:t>
      </w:r>
      <w:r>
        <w:rPr>
          <w:iCs w:val="0"/>
          <w:spacing w:val="0"/>
          <w:lang w:eastAsia="zh-CN"/>
          <w:i w:val="0"/>
          <w:color w:val="000000"/>
          <w:highlight w:val="none"/>
          <w:rFonts w:ascii="仿宋_GB2312" w:cs="仿宋_GB2312" w:eastAsia="仿宋_GB2312" w:hAnsi="仿宋_GB2312" w:hint="eastAsia"/>
          <w:sz w:val="31"/>
          <w:szCs w:val="31"/>
          <w:caps w:val="0"/>
          <w:shd w:fill="FFFFFF" w:val="clear"/>
        </w:rPr>
        <w:t>；二是</w:t>
      </w:r>
      <w:r>
        <w:rPr>
          <w:iCs w:val="0"/>
          <w:spacing w:val="0"/>
          <w:i w:val="0"/>
          <w:color w:val="000000"/>
          <w:highlight w:val="none"/>
          <w:rFonts w:ascii="仿宋_GB2312" w:cs="仿宋_GB2312" w:eastAsia="仿宋_GB2312" w:hAnsi="仿宋_GB2312" w:hint="eastAsia"/>
          <w:sz w:val="31"/>
          <w:szCs w:val="31"/>
          <w:caps w:val="0"/>
          <w:shd w:fill="FFFFFF" w:val="clear"/>
        </w:rPr>
        <w:t>及时完善相关工作制度，压实工作责任</w:t>
      </w:r>
      <w:r>
        <w:rPr>
          <w:iCs w:val="0"/>
          <w:spacing w:val="0"/>
          <w:lang w:eastAsia="zh-CN"/>
          <w:i w:val="0"/>
          <w:color w:val="000000"/>
          <w:highlight w:val="none"/>
          <w:rFonts w:ascii="仿宋_GB2312" w:cs="仿宋_GB2312" w:eastAsia="仿宋_GB2312" w:hAnsi="仿宋_GB2312" w:hint="eastAsia"/>
          <w:sz w:val="31"/>
          <w:szCs w:val="31"/>
          <w:caps w:val="0"/>
          <w:shd w:fill="FFFFFF" w:val="clear"/>
        </w:rPr>
        <w:t>，</w:t>
      </w:r>
      <w:r>
        <w:rPr>
          <w:iCs w:val="0"/>
          <w:spacing w:val="0"/>
          <w:i w:val="0"/>
          <w:color w:val="000000"/>
          <w:highlight w:val="none"/>
          <w:rFonts w:ascii="仿宋_GB2312" w:cs="仿宋_GB2312" w:eastAsia="仿宋_GB2312" w:hAnsi="仿宋_GB2312" w:hint="eastAsia"/>
          <w:sz w:val="31"/>
          <w:szCs w:val="31"/>
          <w:caps w:val="0"/>
          <w:shd w:fill="FFFFFF" w:val="clear"/>
        </w:rPr>
        <w:t>不断提升工作人员的专业水平和责任意识</w:t>
      </w:r>
      <w:r>
        <w:rPr>
          <w:iCs w:val="0"/>
          <w:spacing w:val="0"/>
          <w:lang w:eastAsia="zh-CN"/>
          <w:i w:val="0"/>
          <w:color w:val="000000"/>
          <w:highlight w:val="none"/>
          <w:rFonts w:ascii="仿宋_GB2312" w:cs="仿宋_GB2312" w:eastAsia="仿宋_GB2312" w:hAnsi="仿宋_GB2312" w:hint="eastAsia"/>
          <w:sz w:val="31"/>
          <w:szCs w:val="31"/>
          <w:caps w:val="0"/>
          <w:shd w:fill="FFFFFF" w:val="clear"/>
        </w:rPr>
        <w:t>；三是</w:t>
      </w:r>
      <w:r>
        <w:rPr>
          <w:iCs w:val="0"/>
          <w:spacing w:val="0"/>
          <w:i w:val="0"/>
          <w:color w:val="000000"/>
          <w:highlight w:val="none"/>
          <w:rFonts w:ascii="仿宋_GB2312" w:cs="仿宋_GB2312" w:eastAsia="仿宋_GB2312" w:hAnsi="仿宋_GB2312" w:hint="eastAsia"/>
          <w:sz w:val="31"/>
          <w:szCs w:val="31"/>
          <w:caps w:val="0"/>
          <w:shd w:fill="FFFFFF" w:val="clear"/>
        </w:rPr>
        <w:t>进一步提升政务公开的质量和效率，保障好人民群众依法获取政府信息的权利。</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rPr>
          <w:rStyle w:val="8"/>
        </w:rPr>
        <w:pStyle w:val="4"/>
        <w:ind w:right="0"/>
        <w:pageBreakBefore w:val="0"/>
        <w:spacing w:before="0" w:beforeAutospacing="0" w:after="0" w:afterAutospacing="0" w:line="600" w:lineRule="exact"/>
        <w:rPr>
          <w:bCs/>
          <w:iCs w:val="0"/>
          <w:spacing w:val="0"/>
          <w14:textFill>
            <w14:solidFill>
              <w14:schemeClr w14:val="tx1"/>
            </w14:solidFill>
          </w14:textFill>
          <w:rStyle w:val="8"/>
          <w:b w:val="0"/>
          <w:i w:val="0"/>
          <w:color w:val="000000"/>
          <w:rFonts w:ascii="黑体" w:cs="黑体" w:eastAsia="黑体" w:hAnsi="黑体" w:hint="eastAsia"/>
          <w:sz w:val="28"/>
          <w:szCs w:val="28"/>
          <w:caps w:val="0"/>
          <w:shd w:fill="FFFFFF" w:val="clear"/>
        </w:rPr>
      </w:pPr>
      <w:r>
        <w:rPr>
          <w:bCs/>
          <w:iCs w:val="0"/>
          <w:spacing w:val="0"/>
          <w14:textFill>
            <w14:solidFill>
              <w14:schemeClr w14:val="tx1"/>
            </w14:solidFill>
          </w14:textFill>
          <w:rStyle w:val="8"/>
          <w:b w:val="0"/>
          <w:i w:val="0"/>
          <w:color w:val="000000"/>
          <w:rFonts w:ascii="黑体" w:cs="黑体" w:eastAsia="黑体" w:hAnsi="黑体" w:hint="eastAsia"/>
          <w:sz w:val="28"/>
          <w:szCs w:val="28"/>
          <w:caps w:val="0"/>
          <w:shd w:fill="FFFFFF" w:val="clear"/>
        </w:rPr>
        <w:t>六、其他需要报告的事项</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4"/>
        <w:ind w:left="0"/>
        <w:ind w:right="0"/>
        <w:ind w:firstLine="620"/>
        <w:pageBreakBefore w:val="0"/>
        <w:spacing w:before="0" w:beforeAutospacing="0" w:after="0" w:afterAutospacing="0" w:line="600" w:lineRule="exact"/>
        <w:rPr>
          <w:bCs/>
          <w:iCs w:val="0"/>
          <w:spacing w:val="0"/>
          <w:lang w:eastAsia="zh-CN"/>
          <w14:textFill>
            <w14:solidFill>
              <w14:schemeClr w14:val="tx1"/>
            </w14:solidFill>
          </w14:textFill>
          <w:b w:val="0"/>
          <w:i w:val="0"/>
          <w:color w:val="000000"/>
          <w:highlight w:val="none"/>
          <w:rFonts w:ascii="微软雅黑" w:cs="微软雅黑" w:eastAsia="微软雅黑" w:hAnsi="微软雅黑" w:hint="eastAsia"/>
          <w:sz w:val="28"/>
          <w:szCs w:val="28"/>
          <w:caps w:val="0"/>
        </w:rPr>
      </w:pPr>
      <w:r>
        <w:rPr>
          <w:iCs w:val="0"/>
          <w:spacing w:val="0"/>
          <w:i w:val="0"/>
          <w:color w:val="000000"/>
          <w:highlight w:val="none"/>
          <w:rFonts w:ascii="仿宋_GB2312" w:cs="仿宋_GB2312" w:eastAsia="仿宋_GB2312" w:hAnsi="仿宋_GB2312"/>
          <w:sz w:val="31"/>
          <w:szCs w:val="31"/>
          <w:caps w:val="0"/>
          <w:shd w:fill="FFFFFF" w:val="clear"/>
        </w:rPr>
        <w:t>我</w:t>
      </w:r>
      <w:r>
        <w:rPr>
          <w:iCs w:val="0"/>
          <w:spacing w:val="0"/>
          <w:lang w:eastAsia="zh-CN"/>
          <w:i w:val="0"/>
          <w:color w:val="000000"/>
          <w:highlight w:val="none"/>
          <w:rFonts w:ascii="仿宋_GB2312" w:cs="仿宋_GB2312" w:eastAsia="仿宋_GB2312" w:hAnsi="仿宋_GB2312" w:hint="eastAsia"/>
          <w:sz w:val="31"/>
          <w:szCs w:val="31"/>
          <w:caps w:val="0"/>
          <w:shd w:fill="FFFFFF" w:val="clear"/>
        </w:rPr>
        <w:t>单位</w:t>
      </w:r>
      <w:r>
        <w:rPr>
          <w:iCs w:val="0"/>
          <w:spacing w:val="0"/>
          <w:i w:val="0"/>
          <w:color w:val="000000"/>
          <w:highlight w:val="none"/>
          <w:rFonts w:ascii="仿宋_GB2312" w:cs="仿宋_GB2312" w:eastAsia="仿宋_GB2312" w:hAnsi="仿宋_GB2312" w:hint="eastAsia"/>
          <w:sz w:val="31"/>
          <w:szCs w:val="31"/>
          <w:caps w:val="0"/>
          <w:shd w:fill="FFFFFF" w:val="clear"/>
        </w:rPr>
        <w:t>严格按照国务院办公厅《政府信息公开信息处理费管理办法》（国办函〔2020〕109号）执行，信息处理费按照超额累进方式计算收费金额，采取按件计收或按量计收方式，202</w:t>
      </w:r>
      <w:r>
        <w:rPr>
          <w:iCs w:val="0"/>
          <w:spacing w:val="0"/>
          <w:lang w:val="en-US" w:eastAsia="zh-CN"/>
          <w:i w:val="0"/>
          <w:color w:val="000000"/>
          <w:highlight w:val="none"/>
          <w:rFonts w:ascii="仿宋_GB2312" w:cs="仿宋_GB2312" w:eastAsia="仿宋_GB2312" w:hAnsi="仿宋_GB2312" w:hint="eastAsia"/>
          <w:sz w:val="31"/>
          <w:szCs w:val="31"/>
          <w:caps w:val="0"/>
          <w:shd w:fill="FFFFFF" w:val="clear"/>
        </w:rPr>
        <w:t>2</w:t>
      </w:r>
      <w:r>
        <w:rPr>
          <w:iCs w:val="0"/>
          <w:spacing w:val="0"/>
          <w:i w:val="0"/>
          <w:color w:val="000000"/>
          <w:highlight w:val="none"/>
          <w:rFonts w:ascii="仿宋_GB2312" w:cs="仿宋_GB2312" w:eastAsia="仿宋_GB2312" w:hAnsi="仿宋_GB2312" w:hint="eastAsia"/>
          <w:sz w:val="31"/>
          <w:szCs w:val="31"/>
          <w:caps w:val="0"/>
          <w:shd w:fill="FFFFFF" w:val="clear"/>
        </w:rPr>
        <w:t>年我</w:t>
      </w:r>
      <w:r>
        <w:rPr>
          <w:iCs w:val="0"/>
          <w:spacing w:val="0"/>
          <w:lang w:eastAsia="zh-CN"/>
          <w:i w:val="0"/>
          <w:color w:val="000000"/>
          <w:highlight w:val="none"/>
          <w:rFonts w:ascii="仿宋_GB2312" w:cs="仿宋_GB2312" w:eastAsia="仿宋_GB2312" w:hAnsi="仿宋_GB2312" w:hint="eastAsia"/>
          <w:sz w:val="31"/>
          <w:szCs w:val="31"/>
          <w:caps w:val="0"/>
          <w:shd w:fill="FFFFFF" w:val="clear"/>
        </w:rPr>
        <w:t>单位</w:t>
      </w:r>
      <w:r>
        <w:rPr>
          <w:iCs w:val="0"/>
          <w:spacing w:val="0"/>
          <w:i w:val="0"/>
          <w:color w:val="000000"/>
          <w:highlight w:val="none"/>
          <w:rFonts w:ascii="仿宋_GB2312" w:cs="仿宋_GB2312" w:eastAsia="仿宋_GB2312" w:hAnsi="仿宋_GB2312" w:hint="eastAsia"/>
          <w:sz w:val="31"/>
          <w:szCs w:val="31"/>
          <w:caps w:val="0"/>
          <w:shd w:fill="FFFFFF" w:val="clear"/>
        </w:rPr>
        <w:t>信息处理费收费情况为零。</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rPr>
          <w:rStyle w:val="8"/>
        </w:rPr>
        <w:pStyle w:val="4"/>
        <w:numPr>
          <w:ilvl w:val="0"/>
          <w:numId w:val="0"/>
        </w:numPr>
        <w:ind w:right="0"/>
        <w:pageBreakBefore w:val="0"/>
        <w:spacing w:before="0" w:beforeAutospacing="0" w:after="0" w:afterAutospacing="0" w:line="240" w:lineRule="auto"/>
        <w:rPr>
          <w:bCs/>
          <w:iCs w:val="0"/>
          <w:spacing w:val="0"/>
          <w14:textFill>
            <w14:solidFill>
              <w14:schemeClr w14:val="tx1"/>
            </w14:solidFill>
          </w14:textFill>
          <w:rStyle w:val="8"/>
          <w:b w:val="0"/>
          <w:i w:val="0"/>
          <w:color w:val="000000"/>
          <w:rFonts w:ascii="黑体" w:cs="黑体" w:eastAsia="黑体" w:hAnsi="黑体" w:hint="eastAsia"/>
          <w:sz w:val="28"/>
          <w:szCs w:val="28"/>
          <w:caps w:val="0"/>
          <w:shd w:fill="FFFFFF" w:val="clear"/>
        </w:rPr>
      </w:pPr>
    </w:p>
    <w:p>
      <w:pPr>
        <w:autoSpaceDE w:val="0"/>
        <w:shd w:fill="FFFFFF" w:color="auto" w:val="clear"/>
        <w:pStyle w:val="4"/>
        <w:numPr>
          <w:ilvl w:val="0"/>
          <w:numId w:val="0"/>
        </w:numPr>
        <w:jc w:val="right"/>
        <w:spacing w:before="0" w:beforeAutospacing="0" w:after="0" w:afterAutospacing="0" w:line="600" w:lineRule="atLeast"/>
        <w:rPr>
          <w:iCs w:val="0"/>
          <w:spacing w:val="0"/>
          <w:lang w:val="en-US" w:eastAsia="zh-CN"/>
          <w:i w:val="0"/>
          <w:color w:val="000000"/>
          <w:rFonts w:ascii="仿宋_gb2312" w:cs="仿宋_gb2312" w:eastAsia="仿宋_gb2312" w:hAnsi="仿宋_gb2312" w:hint="eastAsia"/>
          <w:sz w:val="31"/>
          <w:szCs w:val="31"/>
          <w:caps w:val="0"/>
          <w:shd w:fill="FFFFFF" w:val="clear"/>
        </w:rPr>
      </w:pPr>
      <w:r>
        <w:rPr>
          <w:iCs w:val="0"/>
          <w:spacing w:val="0"/>
          <w:lang w:val="en-US" w:eastAsia="zh-CN"/>
          <w:i w:val="0"/>
          <w:color w:val="000000"/>
          <w:rFonts w:ascii="仿宋_gb2312" w:cs="仿宋_gb2312" w:eastAsia="仿宋_gb2312" w:hAnsi="仿宋_gb2312" w:hint="eastAsia"/>
          <w:sz w:val="31"/>
          <w:szCs w:val="31"/>
          <w:caps w:val="0"/>
          <w:shd w:fill="FFFFFF" w:val="clear"/>
        </w:rPr>
        <w:t xml:space="preserve">                                      丰城市民政局</w:t>
      </w:r>
    </w:p>
    <w:p>
      <w:pPr>
        <w:autoSpaceDE w:val="0"/>
        <w:shd w:fill="FFFFFF" w:color="auto" w:val="clear"/>
        <w:pStyle w:val="4"/>
        <w:numPr>
          <w:ilvl w:val="0"/>
          <w:numId w:val="0"/>
        </w:numPr>
        <w:jc w:val="right"/>
        <w:spacing w:before="0" w:beforeAutospacing="0" w:after="0" w:afterAutospacing="0" w:line="600" w:lineRule="atLeast"/>
        <w:rPr>
          <w:iCs w:val="0"/>
          <w:spacing w:val="0"/>
          <w:lang w:val="en-US" w:eastAsia="zh-CN"/>
          <w:i w:val="0"/>
          <w:color w:val="000000"/>
          <w:rFonts w:ascii="仿宋_gb2312" w:cs="仿宋_gb2312" w:eastAsia="仿宋_gb2312" w:hAnsi="仿宋_gb2312" w:hint="default"/>
          <w:sz w:val="31"/>
          <w:szCs w:val="31"/>
          <w:caps w:val="0"/>
          <w:shd w:fill="FFFFFF" w:val="clear"/>
        </w:rPr>
      </w:pPr>
      <w:r>
        <w:rPr>
          <w:iCs w:val="0"/>
          <w:spacing w:val="0"/>
          <w:lang w:val="en-US" w:eastAsia="zh-CN"/>
          <w:i w:val="0"/>
          <w:color w:val="000000"/>
          <w:rFonts w:ascii="仿宋_gb2312" w:cs="仿宋_gb2312" w:eastAsia="仿宋_gb2312" w:hAnsi="仿宋_gb2312" w:hint="eastAsia"/>
          <w:sz w:val="31"/>
          <w:szCs w:val="31"/>
          <w:caps w:val="0"/>
          <w:shd w:fill="FFFFFF" w:val="clear"/>
        </w:rPr>
        <w:t>2023年1月1日</w:t>
      </w:r>
    </w:p>
    <w:p>
      <w:pPr>
        <w:jc w:val="both"/>
        <w:rPr>
          <w:iCs w:val="0"/>
          <w:spacing w:val="0"/>
          <w:lang w:val="en-US" w:eastAsia="zh-CN"/>
          <w:i w:val="0"/>
          <w:color w:val="000000"/>
          <w:rFonts w:ascii="仿宋_gb2312" w:cs="仿宋_gb2312" w:eastAsia="仿宋_gb2312" w:hAnsi="仿宋_gb2312" w:hint="default"/>
          <w:sz w:val="31"/>
          <w:szCs w:val="31"/>
          <w:caps w:val="0"/>
        </w:rPr>
      </w:pPr>
      <w:r>
        <w:rPr>
          <w:iCs w:val="0"/>
          <w:spacing w:val="0"/>
          <w:lang w:val="en-US" w:eastAsia="zh-CN"/>
          <w:i w:val="0"/>
          <w:color w:val="000000"/>
          <w:rFonts w:ascii="仿宋_gb2312" w:cs="仿宋_gb2312" w:eastAsia="仿宋_gb2312" w:hAnsi="仿宋_gb2312" w:hint="eastAsia"/>
          <w:sz w:val="31"/>
          <w:szCs w:val="31"/>
          <w:caps w:val="0"/>
        </w:rPr>
        <w:t xml:space="preserve">                               </w:t>
      </w:r>
    </w:p>
    <w:p>
      <w:pPr>
        <w:jc w:val="both"/>
        <w:rPr>
          <w:iCs w:val="0"/>
          <w:spacing w:val="0"/>
          <w:i w:val="0"/>
          <w:color w:val="000000"/>
          <w:rFonts w:ascii="仿宋_gb2312" w:cs="仿宋_gb2312" w:eastAsia="仿宋_gb2312" w:hAnsi="仿宋_gb2312" w:hint="default"/>
          <w:sz w:val="31"/>
          <w:szCs w:val="31"/>
          <w:caps w:val="0"/>
        </w:rPr>
      </w:pPr>
    </w:p>
    <w:p>
      <w:pPr>
        <w:jc w:val="both"/>
        <w:rPr>
          <w:iCs w:val="0"/>
          <w:spacing w:val="0"/>
          <w:i w:val="0"/>
          <w:color w:val="000000"/>
          <w:rFonts w:ascii="仿宋_gb2312" w:cs="仿宋_gb2312" w:eastAsia="仿宋_gb2312" w:hAnsi="仿宋_gb2312" w:hint="eastAsia"/>
          <w:sz w:val="31"/>
          <w:szCs w:val="31"/>
          <w:caps w:val="0"/>
        </w:rPr>
      </w:pPr>
    </w:p>
    <w:sectPr>
      <w:docGrid w:type="lines" w:linePitch="312" w:charSpace="0"/>
      <w:pgSz w:w="11906" w:h="16838"/>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alibri Ligh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nsid w:val="8B97790B"/>
    <w:tmpl w:val="8B97790B"/>
    <w:lvl w:ilvl="0" w:tentative="0">
      <w:numFmt w:val="chineseCounting"/>
      <w:lvlText w:val="(%1)"/>
      <w:start w:val="1"/>
      <w:rPr>
        <w:rFonts w:hint="eastAsia"/>
      </w:rPr>
      <w:pPr>
        <w:tabs>
          <w:tab w:val="left" w:pos="312"/>
        </w:tabs>
      </w:pPr>
      <w:lvlJc w:val="left"/>
    </w:lvl>
  </w:abstractNum>
  <w:abstractNum w:abstractNumId="1">
    <w:multiLevelType w:val="singleLevel"/>
    <w:nsid w:val="BBA3E711"/>
    <w:tmpl w:val="BBA3E711"/>
    <w:lvl w:ilvl="0" w:tentative="0">
      <w:numFmt w:val="chineseCounting"/>
      <w:lvlText w:val="%1、"/>
      <w:start w:val="1"/>
      <w:rPr>
        <w:rFonts w:hint="eastAsia"/>
      </w:rPr>
      <w:suff w:val="nothing"/>
      <w:lvlJc w:val="left"/>
    </w:lvl>
  </w:abstractNum>
  <w:abstractNum w:abstractNumId="2">
    <w:multiLevelType w:val="singleLevel"/>
    <w:nsid w:val="749316F5"/>
    <w:tmpl w:val="749316F5"/>
    <w:lvl w:ilvl="0" w:tentative="0">
      <w:numFmt w:val="chineseCounting"/>
      <w:lvlText w:val="%1、"/>
      <w:start w:val="5"/>
      <w:rPr>
        <w:rFonts w:hint="eastAsia"/>
      </w:rPr>
      <w:suff w:val="nothing"/>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0"/>
  </w:num>
  <w:num w:numId="3">
    <w:abstractNumId w:val="2"/>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p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NzlmYzM3YWMzY2UwYTM4NTg3NjU2YTZlMDVmNDUifQ=="/>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p14">
  <w:docDefaults>
    <w:rPrDefault>
      <w:rPr>
        <w:rFonts w:ascii="Times New Roman" w:cs="Times New Roman" w:eastAsia="宋体" w:hAnsi="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hAnsiTheme="minorHAnsi" w:eastAsiaTheme="minorEastAsia" w:cstheme="minorBidi"/>
      <w:sz w:val="21"/>
      <w:szCs w:val="24"/>
    </w:rPr>
  </w:style>
  <w:style w:type="paragraph" w:styleId="2">
    <w:name w:val="Heading 1"/>
    <w:qFormat/>
    <w:basedOn w:val="1"/>
    <w:next w:val="1"/>
    <w:uiPriority w:val="0"/>
    <w:pPr>
      <w:keepNext/>
      <w:keepLines/>
      <w:outlineLvl w:val="0"/>
      <w:spacing w:before="340" w:beforeAutospacing="0" w:beforeLines="0" w:after="330" w:afterLines="0" w:afterAutospacing="0" w:line="576" w:lineRule="auto"/>
    </w:pPr>
    <w:rPr>
      <w:kern w:val="44"/>
      <w:b/>
      <w:sz w:val="44"/>
    </w:rPr>
  </w:style>
  <w:style w:type="paragraph" w:styleId="3">
    <w:name w:val="Heading 2"/>
    <w:qFormat/>
    <w:basedOn w:val="1"/>
    <w:next w:val="1"/>
    <w:unhideWhenUsed/>
    <w:uiPriority w:val="0"/>
    <w:pPr>
      <w:keepNext/>
      <w:keepLines/>
      <w:outlineLvl w:val="1"/>
      <w:spacing w:before="260" w:beforeAutospacing="0" w:beforeLines="0" w:after="260" w:afterLines="0" w:afterAutospacing="0" w:line="413" w:lineRule="auto"/>
    </w:pPr>
    <w:rPr>
      <w:b/>
      <w:rFonts w:ascii="Arial" w:eastAsia="黑体" w:hAnsi="Arial"/>
      <w:sz w:val="32"/>
    </w:rPr>
  </w:style>
  <w:style w:type="character" w:default="1" w:styleId="7">
    <w:name w:val="Default Paragraph Font"/>
    <w:qFormat/>
    <w:semiHidden/>
    <w:uiPriority w:val="0"/>
  </w:style>
  <w:style w:type="table" w:default="1" w:styleId="5">
    <w:name w:val="Normal Table"/>
    <w:qFormat/>
    <w:tblPr>
      <w:tblCellMar>
        <w:top w:w="0" w:type="dxa"/>
        <w:left w:w="108" w:type="dxa"/>
        <w:bottom w:w="0" w:type="dxa"/>
        <w:right w:w="108" w:type="dxa"/>
      </w:tblCellMar>
    </w:tblPr>
    <w:semiHidden/>
    <w:uiPriority w:val="0"/>
  </w:style>
  <w:style w:type="paragraph" w:styleId="4">
    <w:name w:val="Normal (Web)"/>
    <w:qFormat/>
    <w:basedOn w:val="1"/>
    <w:unhideWhenUsed/>
    <w:uiPriority w:val="99"/>
    <w:pPr>
      <w:widowControl/>
      <w:jc w:val="left"/>
      <w:spacing w:before="100" w:beforeAutospacing="1" w:after="100" w:afterAutospacing="1"/>
    </w:pPr>
    <w:rPr>
      <w:kern w:val="0"/>
      <w:rFonts w:ascii="宋体" w:cs="宋体" w:eastAsia="宋体" w:hAnsi="宋体"/>
      <w:sz w:val="24"/>
      <w:szCs w:val="24"/>
    </w:rPr>
  </w:style>
  <w:style w:type="table" w:styleId="6">
    <w:name w:val="Table Grid"/>
    <w:qFormat/>
    <w:basedOn w:val="5"/>
    <w:pPr>
      <w:widowControl w:val="0"/>
      <w:jc w:val="both"/>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0"/>
  </w:style>
  <w:style w:type="character" w:styleId="8">
    <w:name w:val="Strong"/>
    <w:qFormat/>
    <w:basedOn w:val="7"/>
    <w:uiPriority w:val="0"/>
    <w:rPr>
      <w:b/>
    </w:rPr>
  </w:style>
  <w:style w:type="character" w:styleId="9">
    <w:name w:val="Hyperlink"/>
    <w:qFormat/>
    <w:basedOn w:val="7"/>
    <w:uiPriority w:val="0"/>
    <w:rPr>
      <w:u w:val="single"/>
      <w:color w:val="0000FF"/>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2173</Words>
  <Characters>2302</Characters>
  <Lines>0</Lines>
  <Paragraphs>0</Paragraphs>
  <TotalTime>126</TotalTime>
  <ScaleCrop>false</ScaleCrop>
  <LinksUpToDate>false</LinksUpToDate>
  <CharactersWithSpaces>2373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2023-01-03T08:23:00Z</dcterms:created>
  <dc:creator>Administrator</dc:creator>
  <cp:lastModifiedBy>Administrator</cp:lastModifiedBy>
  <dcterms:modified xsi:type="dcterms:W3CDTF">2023-06-12T09:08:42Z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CE85E798E03241A4B8F27D84007A1E40_13</vt:lpwstr>
  </property>
</Properties>
</file>