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eastAsia="zh-CN"/>
        </w:rPr>
        <w:t>泉港镇</w:t>
      </w:r>
      <w:r>
        <w:rPr>
          <w:rFonts w:hint="eastAsia" w:ascii="方正小标宋简体" w:hAnsi="方正小标宋简体" w:eastAsia="方正小标宋简体" w:cs="方正小标宋简体"/>
          <w:kern w:val="2"/>
          <w:sz w:val="44"/>
          <w:szCs w:val="44"/>
        </w:rPr>
        <w:t>20</w:t>
      </w:r>
      <w:r>
        <w:rPr>
          <w:rFonts w:hint="eastAsia" w:ascii="方正小标宋简体" w:hAnsi="方正小标宋简体" w:eastAsia="方正小标宋简体" w:cs="方正小标宋简体"/>
          <w:kern w:val="2"/>
          <w:sz w:val="44"/>
          <w:szCs w:val="44"/>
          <w:lang w:val="en-US" w:eastAsia="zh-CN"/>
        </w:rPr>
        <w:t>20</w:t>
      </w:r>
      <w:r>
        <w:rPr>
          <w:rFonts w:hint="eastAsia" w:ascii="方正小标宋简体" w:hAnsi="方正小标宋简体" w:eastAsia="方正小标宋简体" w:cs="方正小标宋简体"/>
          <w:kern w:val="2"/>
          <w:sz w:val="44"/>
          <w:szCs w:val="44"/>
        </w:rPr>
        <w:t>年政府信息公开工作年度报告</w:t>
      </w:r>
    </w:p>
    <w:p>
      <w:pPr>
        <w:adjustRightInd/>
        <w:spacing w:line="240" w:lineRule="auto"/>
        <w:rPr>
          <w:rFonts w:hint="eastAsia"/>
          <w:kern w:val="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本报告依据《中华人民共和国政府信息公开条例》（简称《条例》）和《国务院办公厅政府信息与政务公开办公室关于政府信息公开工作年度报告有关事项的通知》（国办公开办函〔2019〕60号）以及《江西省人民政府办公厅关于印发2020年江西省政务公开工作要点的通知》等相关文件要求，汇总丰城市政府网站、政府信息公开平台数据编制而成。本年度报告中所列数据的统计期限自2020年1月1日起至2020年12月31日止。本报告可在丰城市人民政府门户网——泉港镇政府信息公开年度报告栏目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全文包括总体情况、主动公开政府信息情况、收到和处理政府信息公开申请情况、政府信息公开行政复议行政诉讼情况、存在的主要问题及改进情况、其他需要报告的事项。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如对本报告有任何疑问，请与丰城市泉港镇人民政府办公室联系（地址：丰城市泉港镇肖江路3号，电话：0795-6552030，邮编：331123，邮箱：qg6552030@163.com）。</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kern w:val="2"/>
          <w:sz w:val="32"/>
          <w:szCs w:val="32"/>
        </w:rPr>
      </w:pPr>
      <w:r>
        <w:rPr>
          <w:rFonts w:hint="eastAsia" w:ascii="黑体" w:hAnsi="黑体" w:eastAsia="黑体"/>
          <w:kern w:val="2"/>
          <w:sz w:val="32"/>
          <w:szCs w:val="32"/>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2020年，在丰城市委、市政府的坚强领导下，</w:t>
      </w:r>
      <w:r>
        <w:rPr>
          <w:rFonts w:hint="eastAsia" w:ascii="仿宋_GB2312" w:hAnsi="仿宋_GB2312" w:eastAsia="仿宋_GB2312" w:cs="仿宋_GB2312"/>
          <w:i w:val="0"/>
          <w:caps w:val="0"/>
          <w:color w:val="333333"/>
          <w:spacing w:val="0"/>
          <w:sz w:val="32"/>
          <w:szCs w:val="32"/>
          <w:shd w:val="clear" w:fill="FFFFFF"/>
        </w:rPr>
        <w:t>泉港镇</w:t>
      </w:r>
      <w:r>
        <w:rPr>
          <w:rFonts w:hint="eastAsia" w:ascii="仿宋_GB2312" w:hAnsi="仿宋_GB2312" w:eastAsia="仿宋_GB2312" w:cs="仿宋_GB2312"/>
          <w:i w:val="0"/>
          <w:caps w:val="0"/>
          <w:color w:val="333333"/>
          <w:spacing w:val="0"/>
          <w:sz w:val="32"/>
          <w:szCs w:val="32"/>
          <w:shd w:val="clear" w:fill="FFFFFF"/>
          <w:lang w:eastAsia="zh-CN"/>
        </w:rPr>
        <w:t>坚持以习近平新时代中国特色社会主义思想为指导，深入贯彻落实习近平总书记视察江西重要讲话精神，</w:t>
      </w:r>
      <w:r>
        <w:rPr>
          <w:rFonts w:hint="eastAsia" w:ascii="仿宋_GB2312" w:hAnsi="仿宋_GB2312" w:eastAsia="仿宋_GB2312" w:cs="仿宋_GB2312"/>
          <w:i w:val="0"/>
          <w:caps w:val="0"/>
          <w:color w:val="333333"/>
          <w:spacing w:val="0"/>
          <w:sz w:val="32"/>
          <w:szCs w:val="32"/>
          <w:shd w:val="clear" w:fill="FFFFFF"/>
        </w:rPr>
        <w:t>认真贯彻落实</w:t>
      </w:r>
      <w:r>
        <w:rPr>
          <w:rFonts w:hint="eastAsia" w:ascii="仿宋_GB2312" w:hAnsi="仿宋_GB2312" w:eastAsia="仿宋_GB2312" w:cs="仿宋_GB2312"/>
          <w:i w:val="0"/>
          <w:caps w:val="0"/>
          <w:color w:val="333333"/>
          <w:spacing w:val="0"/>
          <w:sz w:val="32"/>
          <w:szCs w:val="32"/>
          <w:shd w:val="clear" w:fill="FFFFFF"/>
          <w:lang w:eastAsia="zh-CN"/>
        </w:rPr>
        <w:t>新修订的</w:t>
      </w:r>
      <w:r>
        <w:rPr>
          <w:rFonts w:hint="eastAsia" w:ascii="仿宋_GB2312" w:hAnsi="仿宋_GB2312" w:eastAsia="仿宋_GB2312" w:cs="仿宋_GB2312"/>
          <w:i w:val="0"/>
          <w:caps w:val="0"/>
          <w:color w:val="333333"/>
          <w:spacing w:val="0"/>
          <w:sz w:val="32"/>
          <w:szCs w:val="32"/>
          <w:shd w:val="clear" w:fill="FFFFFF"/>
        </w:rPr>
        <w:t>《条例》，</w:t>
      </w:r>
      <w:r>
        <w:rPr>
          <w:rFonts w:hint="eastAsia" w:ascii="仿宋_GB2312" w:hAnsi="仿宋_GB2312" w:eastAsia="仿宋_GB2312" w:cs="仿宋_GB2312"/>
          <w:i w:val="0"/>
          <w:caps w:val="0"/>
          <w:color w:val="333333"/>
          <w:spacing w:val="0"/>
          <w:sz w:val="32"/>
          <w:szCs w:val="32"/>
          <w:shd w:val="clear" w:fill="FFFFFF"/>
          <w:lang w:eastAsia="zh-CN"/>
        </w:rPr>
        <w:t>围绕镇党委、政府中心工作，持续</w:t>
      </w:r>
      <w:r>
        <w:rPr>
          <w:rFonts w:hint="eastAsia" w:ascii="仿宋_GB2312" w:hAnsi="仿宋_GB2312" w:eastAsia="仿宋_GB2312" w:cs="仿宋_GB2312"/>
          <w:i w:val="0"/>
          <w:caps w:val="0"/>
          <w:color w:val="333333"/>
          <w:spacing w:val="0"/>
          <w:sz w:val="32"/>
          <w:szCs w:val="32"/>
          <w:shd w:val="clear" w:fill="FFFFFF"/>
        </w:rPr>
        <w:t>规范政府信息公开</w:t>
      </w:r>
      <w:r>
        <w:rPr>
          <w:rFonts w:hint="eastAsia" w:ascii="仿宋_GB2312" w:hAnsi="仿宋_GB2312" w:eastAsia="仿宋_GB2312" w:cs="仿宋_GB2312"/>
          <w:i w:val="0"/>
          <w:caps w:val="0"/>
          <w:color w:val="333333"/>
          <w:spacing w:val="0"/>
          <w:sz w:val="32"/>
          <w:szCs w:val="32"/>
          <w:shd w:val="clear" w:fill="FFFFFF"/>
          <w:lang w:eastAsia="zh-CN"/>
        </w:rPr>
        <w:t>各个环节</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泉港镇</w:t>
      </w:r>
      <w:r>
        <w:rPr>
          <w:rFonts w:hint="eastAsia" w:ascii="仿宋_GB2312" w:hAnsi="仿宋_GB2312" w:eastAsia="仿宋_GB2312" w:cs="仿宋_GB2312"/>
          <w:i w:val="0"/>
          <w:caps w:val="0"/>
          <w:color w:val="333333"/>
          <w:spacing w:val="0"/>
          <w:sz w:val="32"/>
          <w:szCs w:val="32"/>
          <w:shd w:val="clear" w:fill="FFFFFF"/>
        </w:rPr>
        <w:t>严格</w:t>
      </w:r>
      <w:r>
        <w:rPr>
          <w:rFonts w:hint="eastAsia" w:ascii="仿宋_GB2312" w:hAnsi="仿宋_GB2312" w:eastAsia="仿宋_GB2312" w:cs="仿宋_GB2312"/>
          <w:i w:val="0"/>
          <w:caps w:val="0"/>
          <w:color w:val="333333"/>
          <w:spacing w:val="0"/>
          <w:sz w:val="32"/>
          <w:szCs w:val="32"/>
          <w:shd w:val="clear" w:fill="FFFFFF"/>
          <w:lang w:eastAsia="zh-CN"/>
        </w:rPr>
        <w:t>落实</w:t>
      </w:r>
      <w:r>
        <w:rPr>
          <w:rFonts w:hint="eastAsia" w:ascii="仿宋_GB2312" w:hAnsi="仿宋_GB2312" w:eastAsia="仿宋_GB2312" w:cs="仿宋_GB2312"/>
          <w:i w:val="0"/>
          <w:caps w:val="0"/>
          <w:color w:val="333333"/>
          <w:spacing w:val="0"/>
          <w:sz w:val="32"/>
          <w:szCs w:val="32"/>
          <w:shd w:val="clear" w:fill="FFFFFF"/>
        </w:rPr>
        <w:t>信息公开工作目标责任制</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形成了职责分明、分工合理、各负其责、齐抓共管的工作局面。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（一）主动公开政府信息情况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2020年，泉港镇坚持</w:t>
      </w:r>
      <w:r>
        <w:rPr>
          <w:rFonts w:hint="eastAsia" w:ascii="仿宋_GB2312" w:hAnsi="仿宋_GB2312" w:eastAsia="仿宋_GB2312" w:cs="仿宋_GB2312"/>
          <w:i w:val="0"/>
          <w:caps w:val="0"/>
          <w:color w:val="333333"/>
          <w:spacing w:val="0"/>
          <w:sz w:val="32"/>
          <w:szCs w:val="32"/>
          <w:shd w:val="clear" w:fill="FFFFFF"/>
          <w:lang w:eastAsia="zh-CN"/>
        </w:rPr>
        <w:t>“以公开为原则、不公开为例外”的原则，主动公开政府信息</w:t>
      </w:r>
      <w:r>
        <w:rPr>
          <w:rFonts w:hint="eastAsia" w:ascii="仿宋_GB2312" w:hAnsi="仿宋_GB2312" w:eastAsia="仿宋_GB2312" w:cs="仿宋_GB2312"/>
          <w:i w:val="0"/>
          <w:caps w:val="0"/>
          <w:color w:val="333333"/>
          <w:spacing w:val="0"/>
          <w:sz w:val="32"/>
          <w:szCs w:val="32"/>
          <w:shd w:val="clear" w:fill="FFFFFF"/>
          <w:lang w:val="en-US" w:eastAsia="zh-CN"/>
        </w:rPr>
        <w:t>100条，其中政策及部门动态94条、法规文件3条、规划计划1条、人事信息1条、财政信息1条。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2020年，泉港镇收到依申请公开信息1件，其中自然人1件。商业企业0件。所有依申请公开件均根据国家有关法律规定予以答复，全年未发生信息公开类行政复议、行政诉讼案件。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为确保泉港镇信息公开各项工作落到实处，泉港镇成立了</w:t>
      </w:r>
      <w:r>
        <w:rPr>
          <w:rFonts w:hint="default" w:ascii="仿宋_GB2312" w:hAnsi="仿宋_GB2312" w:eastAsia="仿宋_GB2312" w:cs="仿宋_GB2312"/>
          <w:i w:val="0"/>
          <w:caps w:val="0"/>
          <w:color w:val="333333"/>
          <w:spacing w:val="0"/>
          <w:sz w:val="32"/>
          <w:szCs w:val="32"/>
          <w:shd w:val="clear" w:fill="FFFFFF"/>
          <w:lang w:val="en-US" w:eastAsia="zh-CN"/>
        </w:rPr>
        <w:t>信息公开领导小组，镇召开班子会专题研究信息公开各项事宜，并把信息公开工作列为年底绩效考核的重要指标。镇办公室负责镇各领域“五公开”信息的收集、整理和政府规范性文件的发布工作，其他办公室负责各自领域信息工作的报送管理工作。</w:t>
      </w:r>
      <w:r>
        <w:rPr>
          <w:rFonts w:hint="eastAsia" w:ascii="仿宋_GB2312" w:hAnsi="仿宋_GB2312" w:eastAsia="仿宋_GB2312" w:cs="仿宋_GB2312"/>
          <w:i w:val="0"/>
          <w:caps w:val="0"/>
          <w:color w:val="333333"/>
          <w:spacing w:val="0"/>
          <w:sz w:val="32"/>
          <w:szCs w:val="32"/>
          <w:shd w:val="clear" w:fill="FFFFFF"/>
          <w:lang w:val="en-US" w:eastAsia="zh-CN"/>
        </w:rPr>
        <w:t>镇办公室负责完善政府信息公开指南等相关制度。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sz w:val="32"/>
          <w:szCs w:val="32"/>
          <w:shd w:val="clear" w:fill="FFFFFF"/>
          <w:lang w:val="en-US" w:eastAsia="zh-CN"/>
        </w:rPr>
        <w:t>泉港镇人民政府信息公开平台主要有两种类型。一是</w:t>
      </w:r>
      <w:r>
        <w:rPr>
          <w:rFonts w:hint="eastAsia" w:ascii="仿宋_GB2312" w:hAnsi="仿宋_GB2312" w:eastAsia="仿宋_GB2312" w:cs="仿宋_GB2312"/>
          <w:i w:val="0"/>
          <w:caps w:val="0"/>
          <w:color w:val="333333"/>
          <w:spacing w:val="0"/>
          <w:kern w:val="0"/>
          <w:sz w:val="32"/>
          <w:szCs w:val="32"/>
          <w:shd w:val="clear" w:fill="FFFFFF"/>
          <w:lang w:val="en-US" w:eastAsia="zh-CN" w:bidi="ar"/>
        </w:rPr>
        <w:t>丰城市人民政府门户网——泉港镇平台，由镇办公室专人负责网站后台正常运行和管理，明确管理职责。二是在泉港镇便民服务中心设置政府信息公开体验专区，展板、书报夹里放置政府公开文件及最新政策的形式向办事群众公开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2020年，我镇根据市政府办要求，结合自身实际，不断完善公开指南、机构概况、法规文件、规划计划、人事信息、财政信息等栏目，编制了政府信息公开目录。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（五）监督保障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镇党政班子联席会议将政府信息公开工作纳入绩效考核范畴，各业务部门负责各自领域信息报送，镇办公室负责镇本级及业务部门信息的统一发布。全镇政府信息公开工作在镇信息公开领导小组的指导下进行，由办公室成员专人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严格遵守保密审查机制，由分管领导审查把关，确保涉密信息不公开，公开信息不涉密。同时，强化监督检查，镇政府信息公开领导小组定期对政务信息公开发布的程序进行监督，鼓励群众及干部积极反映公开过程的问题，同时，结合查阅点、意见箱的群众反馈意见，并广泛接受社会群众监督形成社会评议，2020全年未发生责任追究情况，社会群众对我镇信息公开评议结果较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kern w:val="2"/>
          <w:sz w:val="32"/>
          <w:szCs w:val="32"/>
        </w:rPr>
      </w:pPr>
      <w:bookmarkStart w:id="0" w:name="_GoBack"/>
      <w:bookmarkEnd w:id="0"/>
      <w:r>
        <w:rPr>
          <w:rFonts w:hint="eastAsia" w:ascii="黑体" w:hAnsi="黑体" w:eastAsia="黑体"/>
          <w:kern w:val="2"/>
          <w:sz w:val="32"/>
          <w:szCs w:val="32"/>
        </w:rPr>
        <w:t>二、主动公开政府信息情况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1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top"/>
          </w:tcPr>
          <w:p>
            <w:pPr>
              <w:adjustRightInd/>
              <w:spacing w:line="240" w:lineRule="auto"/>
              <w:jc w:val="center"/>
              <w:rPr>
                <w:rFonts w:hint="eastAsia"/>
                <w:kern w:val="2"/>
                <w:szCs w:val="24"/>
              </w:rPr>
            </w:pPr>
            <w:r>
              <w:rPr>
                <w:rFonts w:hint="eastAsia"/>
                <w:kern w:val="2"/>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本年新制作数量</w:t>
            </w:r>
          </w:p>
        </w:tc>
        <w:tc>
          <w:tcPr>
            <w:tcW w:w="2131" w:type="dxa"/>
            <w:vAlign w:val="center"/>
          </w:tcPr>
          <w:p>
            <w:pPr>
              <w:adjustRightInd/>
              <w:spacing w:line="240" w:lineRule="auto"/>
              <w:jc w:val="center"/>
              <w:rPr>
                <w:rFonts w:hint="eastAsia"/>
                <w:kern w:val="2"/>
                <w:szCs w:val="24"/>
              </w:rPr>
            </w:pPr>
            <w:r>
              <w:rPr>
                <w:rFonts w:hint="eastAsia"/>
                <w:kern w:val="2"/>
                <w:szCs w:val="24"/>
              </w:rPr>
              <w:t>本年新公开数量</w:t>
            </w:r>
          </w:p>
        </w:tc>
        <w:tc>
          <w:tcPr>
            <w:tcW w:w="2131" w:type="dxa"/>
            <w:vAlign w:val="center"/>
          </w:tcPr>
          <w:p>
            <w:pPr>
              <w:adjustRightInd/>
              <w:spacing w:line="240" w:lineRule="auto"/>
              <w:jc w:val="center"/>
              <w:rPr>
                <w:rFonts w:hint="eastAsia"/>
                <w:kern w:val="2"/>
                <w:szCs w:val="24"/>
              </w:rPr>
            </w:pPr>
            <w:r>
              <w:rPr>
                <w:rFonts w:hint="eastAsia"/>
                <w:kern w:val="2"/>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规章</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规范性文件</w:t>
            </w:r>
          </w:p>
        </w:tc>
        <w:tc>
          <w:tcPr>
            <w:tcW w:w="1812"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上一年项目数量</w:t>
            </w:r>
          </w:p>
        </w:tc>
        <w:tc>
          <w:tcPr>
            <w:tcW w:w="2131" w:type="dxa"/>
            <w:vAlign w:val="center"/>
          </w:tcPr>
          <w:p>
            <w:pPr>
              <w:adjustRightInd/>
              <w:spacing w:line="240" w:lineRule="auto"/>
              <w:jc w:val="center"/>
              <w:rPr>
                <w:rFonts w:hint="eastAsia"/>
                <w:kern w:val="2"/>
                <w:szCs w:val="24"/>
              </w:rPr>
            </w:pPr>
            <w:r>
              <w:rPr>
                <w:rFonts w:hint="eastAsia"/>
                <w:kern w:val="2"/>
                <w:szCs w:val="24"/>
              </w:rPr>
              <w:t>本年增/减</w:t>
            </w:r>
          </w:p>
        </w:tc>
        <w:tc>
          <w:tcPr>
            <w:tcW w:w="2131" w:type="dxa"/>
            <w:vAlign w:val="center"/>
          </w:tcPr>
          <w:p>
            <w:pPr>
              <w:adjustRightInd/>
              <w:spacing w:line="240" w:lineRule="auto"/>
              <w:jc w:val="center"/>
              <w:rPr>
                <w:rFonts w:hint="eastAsia"/>
                <w:kern w:val="2"/>
                <w:szCs w:val="24"/>
              </w:rPr>
            </w:pPr>
            <w:r>
              <w:rPr>
                <w:rFonts w:hint="eastAsia"/>
                <w:kern w:val="2"/>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行政许可</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其他对外管理服务事项</w:t>
            </w:r>
          </w:p>
        </w:tc>
        <w:tc>
          <w:tcPr>
            <w:tcW w:w="1812"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第二十六条第（六）项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上一年项目数量</w:t>
            </w:r>
          </w:p>
        </w:tc>
        <w:tc>
          <w:tcPr>
            <w:tcW w:w="2131" w:type="dxa"/>
            <w:vAlign w:val="center"/>
          </w:tcPr>
          <w:p>
            <w:pPr>
              <w:adjustRightInd/>
              <w:spacing w:line="240" w:lineRule="auto"/>
              <w:jc w:val="center"/>
              <w:rPr>
                <w:rFonts w:hint="eastAsia"/>
                <w:kern w:val="2"/>
                <w:szCs w:val="24"/>
              </w:rPr>
            </w:pPr>
            <w:r>
              <w:rPr>
                <w:rFonts w:hint="eastAsia"/>
                <w:kern w:val="2"/>
                <w:szCs w:val="24"/>
              </w:rPr>
              <w:t>本年增/减</w:t>
            </w:r>
          </w:p>
        </w:tc>
        <w:tc>
          <w:tcPr>
            <w:tcW w:w="2131" w:type="dxa"/>
            <w:vAlign w:val="center"/>
          </w:tcPr>
          <w:p>
            <w:pPr>
              <w:adjustRightInd/>
              <w:spacing w:line="240" w:lineRule="auto"/>
              <w:jc w:val="center"/>
              <w:rPr>
                <w:rFonts w:hint="eastAsia"/>
                <w:kern w:val="2"/>
                <w:szCs w:val="24"/>
              </w:rPr>
            </w:pPr>
            <w:r>
              <w:rPr>
                <w:rFonts w:hint="eastAsia"/>
                <w:kern w:val="2"/>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行政处罚</w:t>
            </w:r>
          </w:p>
        </w:tc>
        <w:tc>
          <w:tcPr>
            <w:tcW w:w="1812"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行政强制</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上一年项目数量</w:t>
            </w:r>
          </w:p>
        </w:tc>
        <w:tc>
          <w:tcPr>
            <w:tcW w:w="2131" w:type="dxa"/>
            <w:vAlign w:val="center"/>
          </w:tcPr>
          <w:p>
            <w:pPr>
              <w:adjustRightInd/>
              <w:spacing w:line="240" w:lineRule="auto"/>
              <w:jc w:val="center"/>
              <w:rPr>
                <w:rFonts w:hint="eastAsia"/>
                <w:kern w:val="2"/>
                <w:szCs w:val="24"/>
              </w:rPr>
            </w:pPr>
            <w:r>
              <w:rPr>
                <w:rFonts w:hint="eastAsia"/>
                <w:kern w:val="2"/>
                <w:szCs w:val="24"/>
              </w:rPr>
              <w:t>本年增/减</w:t>
            </w:r>
          </w:p>
        </w:tc>
        <w:tc>
          <w:tcPr>
            <w:tcW w:w="2131" w:type="dxa"/>
            <w:vAlign w:val="center"/>
          </w:tcPr>
          <w:p>
            <w:pPr>
              <w:adjustRightInd/>
              <w:spacing w:line="240" w:lineRule="auto"/>
              <w:jc w:val="center"/>
              <w:rPr>
                <w:rFonts w:hint="eastAsia"/>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行政事业性收费</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采购项目数量</w:t>
            </w:r>
          </w:p>
        </w:tc>
        <w:tc>
          <w:tcPr>
            <w:tcW w:w="2131" w:type="dxa"/>
            <w:vAlign w:val="center"/>
          </w:tcPr>
          <w:p>
            <w:pPr>
              <w:adjustRightInd/>
              <w:spacing w:line="240" w:lineRule="auto"/>
              <w:jc w:val="center"/>
              <w:rPr>
                <w:rFonts w:hint="eastAsia"/>
                <w:kern w:val="2"/>
                <w:szCs w:val="24"/>
              </w:rPr>
            </w:pPr>
            <w:r>
              <w:rPr>
                <w:rFonts w:hint="eastAsia"/>
                <w:kern w:val="2"/>
                <w:szCs w:val="24"/>
              </w:rPr>
              <w:t>采购总金额</w:t>
            </w:r>
          </w:p>
        </w:tc>
        <w:tc>
          <w:tcPr>
            <w:tcW w:w="2131" w:type="dxa"/>
            <w:vAlign w:val="center"/>
          </w:tcPr>
          <w:p>
            <w:pPr>
              <w:adjustRightInd/>
              <w:spacing w:line="240" w:lineRule="auto"/>
              <w:jc w:val="center"/>
              <w:rPr>
                <w:rFonts w:hint="eastAsia"/>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政府集中采购</w:t>
            </w:r>
          </w:p>
        </w:tc>
        <w:tc>
          <w:tcPr>
            <w:tcW w:w="1812"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555</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255933.8</w:t>
            </w:r>
          </w:p>
        </w:tc>
        <w:tc>
          <w:tcPr>
            <w:tcW w:w="2131" w:type="dxa"/>
            <w:vAlign w:val="center"/>
          </w:tcPr>
          <w:p>
            <w:pPr>
              <w:adjustRightInd/>
              <w:spacing w:line="240" w:lineRule="auto"/>
              <w:jc w:val="center"/>
              <w:rPr>
                <w:rFonts w:hint="eastAsia"/>
                <w:kern w:val="2"/>
                <w:szCs w:val="24"/>
              </w:rPr>
            </w:pPr>
          </w:p>
        </w:tc>
      </w:tr>
    </w:tbl>
    <w:p>
      <w:pPr>
        <w:adjustRightInd/>
        <w:spacing w:line="240" w:lineRule="auto"/>
        <w:rPr>
          <w:rFonts w:hint="eastAsia"/>
          <w:kern w:val="2"/>
          <w:szCs w:val="24"/>
        </w:rPr>
      </w:pPr>
    </w:p>
    <w:p>
      <w:pPr>
        <w:adjustRightInd/>
        <w:spacing w:line="240" w:lineRule="auto"/>
        <w:rPr>
          <w:rFonts w:hint="eastAsia"/>
          <w:kern w:val="2"/>
          <w:szCs w:val="24"/>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kern w:val="2"/>
          <w:sz w:val="28"/>
          <w:szCs w:val="28"/>
        </w:rPr>
      </w:pPr>
      <w:r>
        <w:rPr>
          <w:rFonts w:hint="eastAsia" w:ascii="黑体" w:hAnsi="黑体" w:eastAsia="黑体"/>
          <w:kern w:val="2"/>
          <w:sz w:val="28"/>
          <w:szCs w:val="28"/>
        </w:rPr>
        <w:t>三、收到和处理政府信息公开申请情况</w:t>
      </w:r>
    </w:p>
    <w:tbl>
      <w:tblPr>
        <w:tblStyle w:val="5"/>
        <w:tblW w:w="946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2700"/>
        <w:gridCol w:w="900"/>
        <w:gridCol w:w="600"/>
        <w:gridCol w:w="780"/>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068" w:type="dxa"/>
            <w:gridSpan w:val="3"/>
            <w:vMerge w:val="restart"/>
            <w:vAlign w:val="center"/>
          </w:tcPr>
          <w:p>
            <w:pPr>
              <w:adjustRightInd/>
              <w:spacing w:line="240" w:lineRule="auto"/>
              <w:rPr>
                <w:rFonts w:hint="eastAsia"/>
                <w:kern w:val="2"/>
                <w:sz w:val="18"/>
                <w:szCs w:val="18"/>
              </w:rPr>
            </w:pPr>
            <w:r>
              <w:rPr>
                <w:rFonts w:hint="eastAsia"/>
                <w:kern w:val="2"/>
                <w:sz w:val="18"/>
                <w:szCs w:val="18"/>
              </w:rPr>
              <w:t>（本列数据的勾稽关系为：第一项加第二项之和，等于第三项加第四项之和）</w:t>
            </w:r>
          </w:p>
        </w:tc>
        <w:tc>
          <w:tcPr>
            <w:tcW w:w="5400" w:type="dxa"/>
            <w:gridSpan w:val="7"/>
            <w:vAlign w:val="center"/>
          </w:tcPr>
          <w:p>
            <w:pPr>
              <w:adjustRightInd/>
              <w:spacing w:line="240" w:lineRule="auto"/>
              <w:jc w:val="center"/>
              <w:rPr>
                <w:rFonts w:hint="eastAsia"/>
                <w:kern w:val="2"/>
                <w:sz w:val="18"/>
                <w:szCs w:val="18"/>
              </w:rPr>
            </w:pPr>
            <w:r>
              <w:rPr>
                <w:rFonts w:hint="eastAsia"/>
                <w:kern w:val="2"/>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068" w:type="dxa"/>
            <w:gridSpan w:val="3"/>
            <w:vMerge w:val="continue"/>
            <w:vAlign w:val="top"/>
          </w:tcPr>
          <w:p>
            <w:pPr>
              <w:adjustRightInd/>
              <w:spacing w:line="240" w:lineRule="auto"/>
              <w:rPr>
                <w:rFonts w:hint="eastAsia"/>
                <w:kern w:val="2"/>
                <w:sz w:val="18"/>
                <w:szCs w:val="18"/>
              </w:rPr>
            </w:pPr>
          </w:p>
        </w:tc>
        <w:tc>
          <w:tcPr>
            <w:tcW w:w="900" w:type="dxa"/>
            <w:vMerge w:val="restart"/>
            <w:vAlign w:val="center"/>
          </w:tcPr>
          <w:p>
            <w:pPr>
              <w:adjustRightInd/>
              <w:spacing w:line="240" w:lineRule="auto"/>
              <w:jc w:val="center"/>
              <w:rPr>
                <w:rFonts w:hint="eastAsia"/>
                <w:kern w:val="2"/>
                <w:sz w:val="18"/>
                <w:szCs w:val="18"/>
              </w:rPr>
            </w:pPr>
            <w:r>
              <w:rPr>
                <w:rFonts w:hint="eastAsia"/>
                <w:kern w:val="2"/>
                <w:sz w:val="18"/>
                <w:szCs w:val="18"/>
              </w:rPr>
              <w:t>自然人</w:t>
            </w:r>
          </w:p>
        </w:tc>
        <w:tc>
          <w:tcPr>
            <w:tcW w:w="4500" w:type="dxa"/>
            <w:gridSpan w:val="6"/>
            <w:vAlign w:val="center"/>
          </w:tcPr>
          <w:p>
            <w:pPr>
              <w:adjustRightInd/>
              <w:spacing w:line="240" w:lineRule="auto"/>
              <w:jc w:val="center"/>
              <w:rPr>
                <w:rFonts w:hint="eastAsia"/>
                <w:kern w:val="2"/>
                <w:sz w:val="18"/>
                <w:szCs w:val="18"/>
              </w:rPr>
            </w:pPr>
            <w:r>
              <w:rPr>
                <w:rFonts w:hint="eastAsia"/>
                <w:kern w:val="2"/>
                <w:sz w:val="18"/>
                <w:szCs w:val="18"/>
              </w:rPr>
              <w:t>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068" w:type="dxa"/>
            <w:gridSpan w:val="3"/>
            <w:vMerge w:val="continue"/>
            <w:vAlign w:val="top"/>
          </w:tcPr>
          <w:p>
            <w:pPr>
              <w:adjustRightInd/>
              <w:spacing w:line="240" w:lineRule="auto"/>
              <w:rPr>
                <w:rFonts w:hint="eastAsia"/>
                <w:kern w:val="2"/>
                <w:sz w:val="18"/>
                <w:szCs w:val="18"/>
              </w:rPr>
            </w:pPr>
          </w:p>
        </w:tc>
        <w:tc>
          <w:tcPr>
            <w:tcW w:w="900" w:type="dxa"/>
            <w:vMerge w:val="continue"/>
            <w:vAlign w:val="center"/>
          </w:tcPr>
          <w:p>
            <w:pPr>
              <w:adjustRightInd/>
              <w:spacing w:line="240" w:lineRule="auto"/>
              <w:jc w:val="center"/>
              <w:rPr>
                <w:rFonts w:hint="eastAsia"/>
                <w:kern w:val="2"/>
                <w:sz w:val="18"/>
                <w:szCs w:val="18"/>
              </w:rPr>
            </w:pPr>
          </w:p>
        </w:tc>
        <w:tc>
          <w:tcPr>
            <w:tcW w:w="600" w:type="dxa"/>
            <w:vAlign w:val="center"/>
          </w:tcPr>
          <w:p>
            <w:pPr>
              <w:adjustRightInd/>
              <w:spacing w:line="240" w:lineRule="auto"/>
              <w:jc w:val="center"/>
              <w:rPr>
                <w:rFonts w:hint="eastAsia"/>
                <w:kern w:val="2"/>
                <w:sz w:val="18"/>
                <w:szCs w:val="18"/>
              </w:rPr>
            </w:pPr>
            <w:r>
              <w:rPr>
                <w:rFonts w:hint="eastAsia"/>
                <w:kern w:val="2"/>
                <w:sz w:val="18"/>
                <w:szCs w:val="18"/>
              </w:rPr>
              <w:t>商业</w:t>
            </w:r>
          </w:p>
          <w:p>
            <w:pPr>
              <w:adjustRightInd/>
              <w:spacing w:line="240" w:lineRule="auto"/>
              <w:jc w:val="center"/>
              <w:rPr>
                <w:rFonts w:hint="eastAsia"/>
                <w:kern w:val="2"/>
                <w:sz w:val="18"/>
                <w:szCs w:val="18"/>
              </w:rPr>
            </w:pPr>
            <w:r>
              <w:rPr>
                <w:rFonts w:hint="eastAsia"/>
                <w:kern w:val="2"/>
                <w:sz w:val="18"/>
                <w:szCs w:val="18"/>
              </w:rPr>
              <w:t>企业</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科研</w:t>
            </w:r>
          </w:p>
          <w:p>
            <w:pPr>
              <w:adjustRightInd/>
              <w:spacing w:line="240" w:lineRule="auto"/>
              <w:jc w:val="center"/>
              <w:rPr>
                <w:rFonts w:hint="eastAsia"/>
                <w:kern w:val="2"/>
                <w:sz w:val="18"/>
                <w:szCs w:val="18"/>
              </w:rPr>
            </w:pPr>
            <w:r>
              <w:rPr>
                <w:rFonts w:hint="eastAsia"/>
                <w:kern w:val="2"/>
                <w:sz w:val="18"/>
                <w:szCs w:val="18"/>
              </w:rPr>
              <w:t>机构</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社会公益组织</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法律服务机构</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其他</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068" w:type="dxa"/>
            <w:gridSpan w:val="3"/>
            <w:vAlign w:val="center"/>
          </w:tcPr>
          <w:p>
            <w:pPr>
              <w:adjustRightInd/>
              <w:spacing w:line="240" w:lineRule="auto"/>
              <w:rPr>
                <w:rFonts w:hint="eastAsia"/>
                <w:kern w:val="2"/>
                <w:sz w:val="18"/>
                <w:szCs w:val="18"/>
              </w:rPr>
            </w:pPr>
            <w:r>
              <w:rPr>
                <w:rFonts w:hint="eastAsia"/>
                <w:kern w:val="2"/>
                <w:sz w:val="18"/>
                <w:szCs w:val="18"/>
              </w:rPr>
              <w:t>一、本年新收政府信息公开申请数量</w:t>
            </w:r>
          </w:p>
        </w:tc>
        <w:tc>
          <w:tcPr>
            <w:tcW w:w="90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2</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068" w:type="dxa"/>
            <w:gridSpan w:val="3"/>
            <w:vAlign w:val="center"/>
          </w:tcPr>
          <w:p>
            <w:pPr>
              <w:adjustRightInd/>
              <w:spacing w:line="240" w:lineRule="auto"/>
              <w:rPr>
                <w:rFonts w:hint="eastAsia"/>
                <w:kern w:val="2"/>
                <w:sz w:val="18"/>
                <w:szCs w:val="18"/>
              </w:rPr>
            </w:pPr>
            <w:r>
              <w:rPr>
                <w:rFonts w:hint="eastAsia"/>
                <w:kern w:val="2"/>
                <w:sz w:val="18"/>
                <w:szCs w:val="18"/>
              </w:rPr>
              <w:t>二、上年结转政府信息公开申请数量</w:t>
            </w:r>
          </w:p>
        </w:tc>
        <w:tc>
          <w:tcPr>
            <w:tcW w:w="90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48" w:type="dxa"/>
            <w:vMerge w:val="restart"/>
            <w:vAlign w:val="top"/>
          </w:tcPr>
          <w:p>
            <w:pPr>
              <w:adjustRightInd/>
              <w:spacing w:line="240" w:lineRule="auto"/>
              <w:rPr>
                <w:rFonts w:hint="eastAsia"/>
                <w:kern w:val="2"/>
                <w:sz w:val="18"/>
                <w:szCs w:val="18"/>
                <w:lang w:val="en-US" w:eastAsia="zh-CN"/>
              </w:rPr>
            </w:pPr>
          </w:p>
          <w:p>
            <w:pPr>
              <w:adjustRightInd/>
              <w:spacing w:line="240" w:lineRule="auto"/>
              <w:rPr>
                <w:rFonts w:hint="eastAsia"/>
                <w:kern w:val="2"/>
                <w:sz w:val="18"/>
                <w:szCs w:val="18"/>
                <w:lang w:val="en-US" w:eastAsia="zh-CN"/>
              </w:rPr>
            </w:pPr>
          </w:p>
          <w:p>
            <w:pPr>
              <w:adjustRightInd/>
              <w:spacing w:line="240" w:lineRule="auto"/>
              <w:rPr>
                <w:rFonts w:hint="eastAsia"/>
                <w:kern w:val="2"/>
                <w:sz w:val="18"/>
                <w:szCs w:val="18"/>
                <w:lang w:val="en-US" w:eastAsia="zh-CN"/>
              </w:rPr>
            </w:pPr>
          </w:p>
          <w:p>
            <w:pPr>
              <w:adjustRightInd/>
              <w:spacing w:line="240" w:lineRule="auto"/>
              <w:rPr>
                <w:rFonts w:hint="eastAsia"/>
                <w:kern w:val="2"/>
                <w:sz w:val="18"/>
                <w:szCs w:val="18"/>
                <w:lang w:val="en-US" w:eastAsia="zh-CN"/>
              </w:rPr>
            </w:pPr>
          </w:p>
          <w:p>
            <w:pPr>
              <w:adjustRightInd/>
              <w:spacing w:line="240" w:lineRule="auto"/>
              <w:rPr>
                <w:rFonts w:hint="eastAsia" w:eastAsia="宋体"/>
                <w:kern w:val="2"/>
                <w:sz w:val="18"/>
                <w:szCs w:val="18"/>
                <w:lang w:val="en-US" w:eastAsia="zh-CN"/>
              </w:rPr>
            </w:pPr>
            <w:r>
              <w:rPr>
                <w:rFonts w:hint="eastAsia"/>
                <w:kern w:val="2"/>
                <w:sz w:val="18"/>
                <w:szCs w:val="18"/>
                <w:lang w:val="en-US" w:eastAsia="zh-CN"/>
              </w:rPr>
              <w:t>三、本年度办理结果</w:t>
            </w:r>
          </w:p>
        </w:tc>
        <w:tc>
          <w:tcPr>
            <w:tcW w:w="3420" w:type="dxa"/>
            <w:gridSpan w:val="2"/>
            <w:vAlign w:val="top"/>
          </w:tcPr>
          <w:p>
            <w:pPr>
              <w:adjustRightInd/>
              <w:spacing w:line="240" w:lineRule="auto"/>
              <w:rPr>
                <w:rFonts w:hint="eastAsia"/>
                <w:kern w:val="2"/>
                <w:sz w:val="18"/>
                <w:szCs w:val="18"/>
              </w:rPr>
            </w:pPr>
            <w:r>
              <w:rPr>
                <w:rFonts w:hint="eastAsia"/>
                <w:kern w:val="2"/>
                <w:sz w:val="18"/>
                <w:szCs w:val="18"/>
              </w:rPr>
              <w:t>（一）予以公开</w:t>
            </w:r>
          </w:p>
        </w:tc>
        <w:tc>
          <w:tcPr>
            <w:tcW w:w="90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1</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top"/>
          </w:tcPr>
          <w:p>
            <w:pPr>
              <w:adjustRightInd/>
              <w:spacing w:line="240" w:lineRule="auto"/>
              <w:rPr>
                <w:rFonts w:hint="eastAsia"/>
                <w:kern w:val="2"/>
                <w:sz w:val="18"/>
                <w:szCs w:val="18"/>
              </w:rPr>
            </w:pPr>
          </w:p>
        </w:tc>
        <w:tc>
          <w:tcPr>
            <w:tcW w:w="3420" w:type="dxa"/>
            <w:gridSpan w:val="2"/>
            <w:vAlign w:val="top"/>
          </w:tcPr>
          <w:p>
            <w:pPr>
              <w:adjustRightInd/>
              <w:spacing w:line="240" w:lineRule="auto"/>
              <w:rPr>
                <w:rFonts w:hint="eastAsia"/>
                <w:kern w:val="2"/>
                <w:sz w:val="18"/>
                <w:szCs w:val="18"/>
              </w:rPr>
            </w:pPr>
            <w:r>
              <w:rPr>
                <w:rFonts w:hint="eastAsia"/>
                <w:kern w:val="2"/>
                <w:sz w:val="18"/>
                <w:szCs w:val="18"/>
              </w:rPr>
              <w:t>（二）部分公开（区分处理的），只计这一情形，不计其他情形</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48" w:type="dxa"/>
            <w:vMerge w:val="continue"/>
            <w:vAlign w:val="top"/>
          </w:tcPr>
          <w:p>
            <w:pPr>
              <w:adjustRightInd/>
              <w:spacing w:line="240" w:lineRule="auto"/>
              <w:rPr>
                <w:rFonts w:hint="eastAsia"/>
                <w:kern w:val="2"/>
                <w:sz w:val="18"/>
                <w:szCs w:val="18"/>
              </w:rPr>
            </w:pPr>
          </w:p>
        </w:tc>
        <w:tc>
          <w:tcPr>
            <w:tcW w:w="720" w:type="dxa"/>
            <w:vMerge w:val="restart"/>
            <w:vAlign w:val="center"/>
          </w:tcPr>
          <w:p>
            <w:pPr>
              <w:adjustRightInd/>
              <w:spacing w:line="240" w:lineRule="auto"/>
              <w:jc w:val="center"/>
              <w:rPr>
                <w:rFonts w:hint="eastAsia"/>
                <w:kern w:val="2"/>
                <w:sz w:val="18"/>
                <w:szCs w:val="18"/>
              </w:rPr>
            </w:pPr>
            <w:r>
              <w:rPr>
                <w:rFonts w:hint="eastAsia"/>
                <w:kern w:val="2"/>
                <w:sz w:val="18"/>
                <w:szCs w:val="18"/>
              </w:rPr>
              <w:t>（三）不予</w:t>
            </w:r>
          </w:p>
          <w:p>
            <w:pPr>
              <w:adjustRightInd/>
              <w:spacing w:line="240" w:lineRule="auto"/>
              <w:jc w:val="center"/>
              <w:rPr>
                <w:rFonts w:hint="eastAsia"/>
                <w:kern w:val="2"/>
                <w:sz w:val="18"/>
                <w:szCs w:val="18"/>
              </w:rPr>
            </w:pPr>
            <w:r>
              <w:rPr>
                <w:rFonts w:hint="eastAsia"/>
                <w:kern w:val="2"/>
                <w:sz w:val="18"/>
                <w:szCs w:val="18"/>
              </w:rPr>
              <w:t>以公</w:t>
            </w:r>
          </w:p>
          <w:p>
            <w:pPr>
              <w:adjustRightInd/>
              <w:spacing w:line="240" w:lineRule="auto"/>
              <w:jc w:val="center"/>
              <w:rPr>
                <w:rFonts w:hint="eastAsia"/>
                <w:kern w:val="2"/>
                <w:sz w:val="18"/>
                <w:szCs w:val="18"/>
              </w:rPr>
            </w:pPr>
            <w:r>
              <w:rPr>
                <w:rFonts w:hint="eastAsia"/>
                <w:kern w:val="2"/>
                <w:sz w:val="18"/>
                <w:szCs w:val="18"/>
              </w:rPr>
              <w:t>开</w:t>
            </w:r>
          </w:p>
        </w:tc>
        <w:tc>
          <w:tcPr>
            <w:tcW w:w="2700" w:type="dxa"/>
            <w:vAlign w:val="center"/>
          </w:tcPr>
          <w:p>
            <w:pPr>
              <w:adjustRightInd/>
              <w:spacing w:line="240" w:lineRule="auto"/>
              <w:rPr>
                <w:rFonts w:hint="eastAsia"/>
                <w:kern w:val="2"/>
                <w:sz w:val="18"/>
                <w:szCs w:val="18"/>
              </w:rPr>
            </w:pPr>
            <w:r>
              <w:rPr>
                <w:rFonts w:hint="eastAsia"/>
                <w:kern w:val="2"/>
                <w:sz w:val="18"/>
                <w:szCs w:val="18"/>
              </w:rPr>
              <w:t>1、属于国家秘密</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2、其他法律行政法规禁止公开</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3、危及“三安全一稳定”</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4、保护第三方合法权益</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5、属于第三类内部事务信息</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6、属于四类过程性信息</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7、属于行政执法案卷</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8、属于行政查询事项</w:t>
            </w:r>
          </w:p>
        </w:tc>
        <w:tc>
          <w:tcPr>
            <w:tcW w:w="900" w:type="dxa"/>
            <w:vAlign w:val="top"/>
          </w:tcPr>
          <w:p>
            <w:pPr>
              <w:adjustRightInd/>
              <w:spacing w:line="240" w:lineRule="auto"/>
              <w:rPr>
                <w:rFonts w:hint="default"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48" w:type="dxa"/>
            <w:vMerge w:val="continue"/>
            <w:vAlign w:val="top"/>
          </w:tcPr>
          <w:p>
            <w:pPr>
              <w:adjustRightInd/>
              <w:spacing w:line="240" w:lineRule="auto"/>
              <w:rPr>
                <w:rFonts w:hint="eastAsia"/>
                <w:kern w:val="2"/>
                <w:sz w:val="18"/>
                <w:szCs w:val="18"/>
              </w:rPr>
            </w:pPr>
          </w:p>
        </w:tc>
        <w:tc>
          <w:tcPr>
            <w:tcW w:w="720" w:type="dxa"/>
            <w:vMerge w:val="restart"/>
            <w:vAlign w:val="top"/>
          </w:tcPr>
          <w:p>
            <w:pPr>
              <w:adjustRightInd/>
              <w:spacing w:line="240" w:lineRule="auto"/>
              <w:rPr>
                <w:rFonts w:hint="eastAsia"/>
                <w:kern w:val="2"/>
                <w:sz w:val="18"/>
                <w:szCs w:val="18"/>
              </w:rPr>
            </w:pPr>
            <w:r>
              <w:rPr>
                <w:rFonts w:hint="eastAsia"/>
                <w:kern w:val="2"/>
                <w:sz w:val="18"/>
                <w:szCs w:val="18"/>
              </w:rPr>
              <w:t>（四）无法</w:t>
            </w:r>
          </w:p>
          <w:p>
            <w:pPr>
              <w:adjustRightInd/>
              <w:spacing w:line="240" w:lineRule="auto"/>
              <w:rPr>
                <w:rFonts w:hint="eastAsia"/>
                <w:kern w:val="2"/>
                <w:sz w:val="18"/>
                <w:szCs w:val="18"/>
              </w:rPr>
            </w:pPr>
            <w:r>
              <w:rPr>
                <w:rFonts w:hint="eastAsia"/>
                <w:kern w:val="2"/>
                <w:sz w:val="18"/>
                <w:szCs w:val="18"/>
              </w:rPr>
              <w:t>提供</w:t>
            </w:r>
          </w:p>
        </w:tc>
        <w:tc>
          <w:tcPr>
            <w:tcW w:w="2700" w:type="dxa"/>
            <w:vAlign w:val="center"/>
          </w:tcPr>
          <w:p>
            <w:pPr>
              <w:adjustRightInd/>
              <w:spacing w:line="240" w:lineRule="auto"/>
              <w:rPr>
                <w:rFonts w:hint="eastAsia"/>
                <w:kern w:val="2"/>
                <w:sz w:val="18"/>
                <w:szCs w:val="18"/>
              </w:rPr>
            </w:pPr>
            <w:r>
              <w:rPr>
                <w:rFonts w:hint="eastAsia"/>
                <w:kern w:val="2"/>
                <w:sz w:val="18"/>
                <w:szCs w:val="18"/>
              </w:rPr>
              <w:t>1、本机关不掌握相关政府信息</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2、没有现成信息需要另行制作</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3、补正后申请内容仍不明确</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48" w:type="dxa"/>
            <w:vMerge w:val="continue"/>
            <w:vAlign w:val="top"/>
          </w:tcPr>
          <w:p>
            <w:pPr>
              <w:adjustRightInd/>
              <w:spacing w:line="240" w:lineRule="auto"/>
              <w:rPr>
                <w:rFonts w:hint="eastAsia"/>
                <w:kern w:val="2"/>
                <w:sz w:val="18"/>
                <w:szCs w:val="18"/>
              </w:rPr>
            </w:pPr>
          </w:p>
        </w:tc>
        <w:tc>
          <w:tcPr>
            <w:tcW w:w="720" w:type="dxa"/>
            <w:vMerge w:val="restart"/>
            <w:vAlign w:val="top"/>
          </w:tcPr>
          <w:p>
            <w:pPr>
              <w:adjustRightInd/>
              <w:spacing w:line="240" w:lineRule="auto"/>
              <w:rPr>
                <w:rFonts w:hint="eastAsia"/>
                <w:kern w:val="2"/>
                <w:sz w:val="18"/>
                <w:szCs w:val="18"/>
              </w:rPr>
            </w:pPr>
            <w:r>
              <w:rPr>
                <w:rFonts w:hint="eastAsia"/>
                <w:kern w:val="2"/>
                <w:sz w:val="18"/>
                <w:szCs w:val="18"/>
              </w:rPr>
              <w:t>（五）</w:t>
            </w:r>
          </w:p>
          <w:p>
            <w:pPr>
              <w:adjustRightInd/>
              <w:spacing w:line="240" w:lineRule="auto"/>
              <w:rPr>
                <w:rFonts w:hint="eastAsia"/>
                <w:kern w:val="2"/>
                <w:sz w:val="18"/>
                <w:szCs w:val="18"/>
              </w:rPr>
            </w:pPr>
            <w:r>
              <w:rPr>
                <w:rFonts w:hint="eastAsia"/>
                <w:kern w:val="2"/>
                <w:sz w:val="18"/>
                <w:szCs w:val="18"/>
              </w:rPr>
              <w:t>不予</w:t>
            </w:r>
          </w:p>
          <w:p>
            <w:pPr>
              <w:adjustRightInd/>
              <w:spacing w:line="240" w:lineRule="auto"/>
              <w:rPr>
                <w:rFonts w:hint="eastAsia"/>
                <w:kern w:val="2"/>
                <w:sz w:val="18"/>
                <w:szCs w:val="18"/>
              </w:rPr>
            </w:pPr>
            <w:r>
              <w:rPr>
                <w:rFonts w:hint="eastAsia"/>
                <w:kern w:val="2"/>
                <w:sz w:val="18"/>
                <w:szCs w:val="18"/>
              </w:rPr>
              <w:t>处理</w:t>
            </w:r>
          </w:p>
        </w:tc>
        <w:tc>
          <w:tcPr>
            <w:tcW w:w="2700" w:type="dxa"/>
            <w:vAlign w:val="center"/>
          </w:tcPr>
          <w:p>
            <w:pPr>
              <w:adjustRightInd/>
              <w:spacing w:line="240" w:lineRule="auto"/>
              <w:rPr>
                <w:rFonts w:hint="eastAsia"/>
                <w:kern w:val="2"/>
                <w:sz w:val="18"/>
                <w:szCs w:val="18"/>
              </w:rPr>
            </w:pPr>
            <w:r>
              <w:rPr>
                <w:rFonts w:hint="eastAsia"/>
                <w:kern w:val="2"/>
                <w:sz w:val="18"/>
                <w:szCs w:val="18"/>
              </w:rPr>
              <w:t>1、信访举报类申请</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2、重复申请</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1</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3、要求提供公开出版物</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4、无正当理由大量反复申请</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5、要求行政机关确认或重新出具已获取信息</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default"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48" w:type="dxa"/>
            <w:vMerge w:val="continue"/>
            <w:vAlign w:val="top"/>
          </w:tcPr>
          <w:p>
            <w:pPr>
              <w:adjustRightInd/>
              <w:spacing w:line="240" w:lineRule="auto"/>
              <w:rPr>
                <w:rFonts w:hint="eastAsia"/>
                <w:kern w:val="2"/>
                <w:sz w:val="18"/>
                <w:szCs w:val="18"/>
              </w:rPr>
            </w:pPr>
          </w:p>
        </w:tc>
        <w:tc>
          <w:tcPr>
            <w:tcW w:w="720" w:type="dxa"/>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（六）其他处理</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top"/>
          </w:tcPr>
          <w:p>
            <w:pPr>
              <w:adjustRightInd/>
              <w:spacing w:line="240" w:lineRule="auto"/>
              <w:rPr>
                <w:rFonts w:hint="eastAsia"/>
                <w:kern w:val="2"/>
                <w:sz w:val="18"/>
                <w:szCs w:val="18"/>
              </w:rPr>
            </w:pPr>
          </w:p>
        </w:tc>
        <w:tc>
          <w:tcPr>
            <w:tcW w:w="720" w:type="dxa"/>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（七）总计</w:t>
            </w:r>
          </w:p>
        </w:tc>
        <w:tc>
          <w:tcPr>
            <w:tcW w:w="90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2</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068" w:type="dxa"/>
            <w:gridSpan w:val="3"/>
            <w:vAlign w:val="center"/>
          </w:tcPr>
          <w:p>
            <w:pPr>
              <w:adjustRightInd/>
              <w:spacing w:line="240" w:lineRule="auto"/>
              <w:rPr>
                <w:rFonts w:hint="eastAsia"/>
                <w:kern w:val="2"/>
                <w:sz w:val="18"/>
                <w:szCs w:val="18"/>
              </w:rPr>
            </w:pPr>
            <w:r>
              <w:rPr>
                <w:rFonts w:hint="eastAsia"/>
                <w:kern w:val="2"/>
                <w:sz w:val="18"/>
                <w:szCs w:val="18"/>
              </w:rPr>
              <w:t>四、结转下年度继续办理</w:t>
            </w:r>
          </w:p>
        </w:tc>
        <w:tc>
          <w:tcPr>
            <w:tcW w:w="90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r>
    </w:tbl>
    <w:p>
      <w:pPr>
        <w:adjustRightInd/>
        <w:spacing w:line="240" w:lineRule="auto"/>
        <w:rPr>
          <w:rFonts w:hint="eastAsia"/>
          <w:kern w:val="2"/>
          <w:szCs w:val="24"/>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kern w:val="2"/>
          <w:sz w:val="28"/>
          <w:szCs w:val="28"/>
        </w:rPr>
      </w:pPr>
      <w:r>
        <w:rPr>
          <w:rFonts w:hint="eastAsia" w:ascii="黑体" w:hAnsi="黑体" w:eastAsia="黑体"/>
          <w:kern w:val="2"/>
          <w:sz w:val="28"/>
          <w:szCs w:val="28"/>
        </w:rPr>
        <w:t>四、政府信息公开行政复议、行政诉讼情况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569"/>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5"/>
            <w:vAlign w:val="center"/>
          </w:tcPr>
          <w:p>
            <w:pPr>
              <w:adjustRightInd/>
              <w:spacing w:line="240" w:lineRule="auto"/>
              <w:jc w:val="center"/>
              <w:rPr>
                <w:rFonts w:hint="eastAsia"/>
                <w:kern w:val="2"/>
                <w:szCs w:val="24"/>
              </w:rPr>
            </w:pPr>
            <w:r>
              <w:rPr>
                <w:rFonts w:hint="eastAsia"/>
                <w:kern w:val="2"/>
                <w:szCs w:val="24"/>
              </w:rPr>
              <w:t>行政复议</w:t>
            </w:r>
          </w:p>
        </w:tc>
        <w:tc>
          <w:tcPr>
            <w:tcW w:w="5680" w:type="dxa"/>
            <w:gridSpan w:val="10"/>
            <w:vAlign w:val="center"/>
          </w:tcPr>
          <w:p>
            <w:pPr>
              <w:adjustRightInd/>
              <w:spacing w:line="240" w:lineRule="auto"/>
              <w:jc w:val="center"/>
              <w:rPr>
                <w:rFonts w:hint="eastAsia"/>
                <w:kern w:val="2"/>
                <w:szCs w:val="24"/>
              </w:rPr>
            </w:pPr>
            <w:r>
              <w:rPr>
                <w:rFonts w:hint="eastAsia"/>
                <w:kern w:val="2"/>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vAlign w:val="center"/>
          </w:tcPr>
          <w:p>
            <w:pPr>
              <w:adjustRightInd/>
              <w:spacing w:line="240" w:lineRule="auto"/>
              <w:jc w:val="center"/>
              <w:rPr>
                <w:rFonts w:hint="eastAsia"/>
                <w:kern w:val="2"/>
                <w:sz w:val="18"/>
                <w:szCs w:val="18"/>
              </w:rPr>
            </w:pPr>
            <w:r>
              <w:rPr>
                <w:rFonts w:hint="eastAsia"/>
                <w:kern w:val="2"/>
                <w:sz w:val="18"/>
                <w:szCs w:val="18"/>
              </w:rPr>
              <w:t>结果维持</w:t>
            </w:r>
          </w:p>
        </w:tc>
        <w:tc>
          <w:tcPr>
            <w:tcW w:w="569" w:type="dxa"/>
            <w:vMerge w:val="restart"/>
            <w:vAlign w:val="center"/>
          </w:tcPr>
          <w:p>
            <w:pPr>
              <w:adjustRightInd/>
              <w:spacing w:line="240" w:lineRule="auto"/>
              <w:jc w:val="center"/>
              <w:rPr>
                <w:rFonts w:hint="eastAsia"/>
                <w:kern w:val="2"/>
                <w:sz w:val="18"/>
                <w:szCs w:val="18"/>
              </w:rPr>
            </w:pPr>
            <w:r>
              <w:rPr>
                <w:rFonts w:hint="eastAsia"/>
                <w:kern w:val="2"/>
                <w:sz w:val="18"/>
                <w:szCs w:val="18"/>
              </w:rPr>
              <w:t>结果纠正</w:t>
            </w:r>
          </w:p>
        </w:tc>
        <w:tc>
          <w:tcPr>
            <w:tcW w:w="568" w:type="dxa"/>
            <w:vMerge w:val="restart"/>
            <w:vAlign w:val="center"/>
          </w:tcPr>
          <w:p>
            <w:pPr>
              <w:adjustRightInd/>
              <w:spacing w:line="240" w:lineRule="auto"/>
              <w:jc w:val="center"/>
              <w:rPr>
                <w:rFonts w:hint="eastAsia"/>
                <w:kern w:val="2"/>
                <w:sz w:val="18"/>
                <w:szCs w:val="18"/>
              </w:rPr>
            </w:pPr>
            <w:r>
              <w:rPr>
                <w:rFonts w:hint="eastAsia"/>
                <w:kern w:val="2"/>
                <w:sz w:val="18"/>
                <w:szCs w:val="18"/>
              </w:rPr>
              <w:t>其他结果</w:t>
            </w:r>
          </w:p>
        </w:tc>
        <w:tc>
          <w:tcPr>
            <w:tcW w:w="568" w:type="dxa"/>
            <w:vMerge w:val="restart"/>
            <w:vAlign w:val="center"/>
          </w:tcPr>
          <w:p>
            <w:pPr>
              <w:adjustRightInd/>
              <w:spacing w:line="240" w:lineRule="auto"/>
              <w:jc w:val="center"/>
              <w:rPr>
                <w:rFonts w:hint="eastAsia"/>
                <w:kern w:val="2"/>
                <w:sz w:val="18"/>
                <w:szCs w:val="18"/>
              </w:rPr>
            </w:pPr>
            <w:r>
              <w:rPr>
                <w:rFonts w:hint="eastAsia"/>
                <w:kern w:val="2"/>
                <w:sz w:val="18"/>
                <w:szCs w:val="18"/>
              </w:rPr>
              <w:t>尚未审结</w:t>
            </w:r>
          </w:p>
        </w:tc>
        <w:tc>
          <w:tcPr>
            <w:tcW w:w="568" w:type="dxa"/>
            <w:vMerge w:val="restart"/>
            <w:vAlign w:val="center"/>
          </w:tcPr>
          <w:p>
            <w:pPr>
              <w:adjustRightInd/>
              <w:spacing w:line="240" w:lineRule="auto"/>
              <w:jc w:val="center"/>
              <w:rPr>
                <w:rFonts w:hint="eastAsia"/>
                <w:kern w:val="2"/>
                <w:sz w:val="18"/>
                <w:szCs w:val="18"/>
              </w:rPr>
            </w:pPr>
            <w:r>
              <w:rPr>
                <w:rFonts w:hint="eastAsia"/>
                <w:kern w:val="2"/>
                <w:sz w:val="18"/>
                <w:szCs w:val="18"/>
              </w:rPr>
              <w:t>总计</w:t>
            </w:r>
          </w:p>
        </w:tc>
        <w:tc>
          <w:tcPr>
            <w:tcW w:w="2840" w:type="dxa"/>
            <w:gridSpan w:val="5"/>
            <w:vAlign w:val="center"/>
          </w:tcPr>
          <w:p>
            <w:pPr>
              <w:adjustRightInd/>
              <w:spacing w:line="240" w:lineRule="auto"/>
              <w:jc w:val="center"/>
              <w:rPr>
                <w:rFonts w:hint="eastAsia"/>
                <w:kern w:val="2"/>
                <w:szCs w:val="24"/>
              </w:rPr>
            </w:pPr>
            <w:r>
              <w:rPr>
                <w:rFonts w:hint="eastAsia"/>
                <w:kern w:val="2"/>
                <w:szCs w:val="24"/>
              </w:rPr>
              <w:t>未经复议直接起诉</w:t>
            </w:r>
          </w:p>
        </w:tc>
        <w:tc>
          <w:tcPr>
            <w:tcW w:w="2840" w:type="dxa"/>
            <w:gridSpan w:val="5"/>
            <w:vAlign w:val="center"/>
          </w:tcPr>
          <w:p>
            <w:pPr>
              <w:adjustRightInd/>
              <w:spacing w:line="240" w:lineRule="auto"/>
              <w:jc w:val="center"/>
              <w:rPr>
                <w:rFonts w:hint="eastAsia"/>
                <w:kern w:val="2"/>
                <w:szCs w:val="24"/>
              </w:rPr>
            </w:pPr>
            <w:r>
              <w:rPr>
                <w:rFonts w:hint="eastAsia"/>
                <w:kern w:val="2"/>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vAlign w:val="top"/>
          </w:tcPr>
          <w:p>
            <w:pPr>
              <w:adjustRightInd/>
              <w:spacing w:line="240" w:lineRule="auto"/>
              <w:rPr>
                <w:rFonts w:hint="eastAsia"/>
                <w:kern w:val="2"/>
                <w:szCs w:val="24"/>
              </w:rPr>
            </w:pPr>
          </w:p>
        </w:tc>
        <w:tc>
          <w:tcPr>
            <w:tcW w:w="569" w:type="dxa"/>
            <w:vMerge w:val="continue"/>
            <w:vAlign w:val="top"/>
          </w:tcPr>
          <w:p>
            <w:pPr>
              <w:adjustRightInd/>
              <w:spacing w:line="240" w:lineRule="auto"/>
              <w:rPr>
                <w:rFonts w:hint="eastAsia"/>
                <w:kern w:val="2"/>
                <w:szCs w:val="24"/>
              </w:rPr>
            </w:pPr>
          </w:p>
        </w:tc>
        <w:tc>
          <w:tcPr>
            <w:tcW w:w="568" w:type="dxa"/>
            <w:vMerge w:val="continue"/>
            <w:vAlign w:val="top"/>
          </w:tcPr>
          <w:p>
            <w:pPr>
              <w:adjustRightInd/>
              <w:spacing w:line="240" w:lineRule="auto"/>
              <w:rPr>
                <w:rFonts w:hint="eastAsia"/>
                <w:kern w:val="2"/>
                <w:szCs w:val="24"/>
              </w:rPr>
            </w:pPr>
          </w:p>
        </w:tc>
        <w:tc>
          <w:tcPr>
            <w:tcW w:w="568" w:type="dxa"/>
            <w:vMerge w:val="continue"/>
            <w:vAlign w:val="top"/>
          </w:tcPr>
          <w:p>
            <w:pPr>
              <w:adjustRightInd/>
              <w:spacing w:line="240" w:lineRule="auto"/>
              <w:rPr>
                <w:rFonts w:hint="eastAsia"/>
                <w:kern w:val="2"/>
                <w:szCs w:val="24"/>
              </w:rPr>
            </w:pPr>
          </w:p>
        </w:tc>
        <w:tc>
          <w:tcPr>
            <w:tcW w:w="568" w:type="dxa"/>
            <w:vMerge w:val="continue"/>
            <w:vAlign w:val="top"/>
          </w:tcPr>
          <w:p>
            <w:pPr>
              <w:adjustRightInd/>
              <w:spacing w:line="240" w:lineRule="auto"/>
              <w:rPr>
                <w:rFonts w:hint="eastAsia"/>
                <w:kern w:val="2"/>
                <w:szCs w:val="24"/>
              </w:rPr>
            </w:pP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结果维持</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结果纠正</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其他结果</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尚未审结</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总计</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结果维持</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结果纠正</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其他结果</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尚未审结</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69" w:type="dxa"/>
            <w:vAlign w:val="top"/>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569"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kern w:val="2"/>
          <w:sz w:val="28"/>
          <w:szCs w:val="28"/>
        </w:rPr>
      </w:pPr>
      <w:r>
        <w:rPr>
          <w:rFonts w:hint="eastAsia" w:ascii="黑体" w:hAnsi="黑体" w:eastAsia="黑体"/>
          <w:kern w:val="2"/>
          <w:sz w:val="28"/>
          <w:szCs w:val="28"/>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w:t>
      </w:r>
      <w:r>
        <w:rPr>
          <w:rFonts w:hint="eastAsia" w:ascii="仿宋_GB2312" w:hAnsi="仿宋_GB2312" w:eastAsia="仿宋_GB2312" w:cs="仿宋_GB2312"/>
          <w:i w:val="0"/>
          <w:caps w:val="0"/>
          <w:color w:val="333333"/>
          <w:spacing w:val="0"/>
          <w:sz w:val="32"/>
          <w:szCs w:val="32"/>
          <w:shd w:val="clear" w:fill="FFFFFF"/>
          <w:lang w:eastAsia="zh-CN"/>
        </w:rPr>
        <w:t>泉港镇在丰城市政府办的指导下，信息公开工作在前一年的基础上取得了良好成效，但是离上级要求、群众的期盼还存在不足，主要表现在：对政府信息公开重视不够，政府信息公开人员、硬件设施配备严重不足，没有做到专人专物，各业务部门信息报送的渠道和机制还没有理顺，乡镇基层人员业务水平还不高，只能够完成日常工作。下一步，泉港镇将严格落实市政府关于政务公开的要求，进一步完善政务公开各环节，不断促进泉港镇政务公开工作发展。</w:t>
      </w:r>
    </w:p>
    <w:p>
      <w:pPr>
        <w:adjustRightInd/>
        <w:spacing w:line="240" w:lineRule="auto"/>
        <w:ind w:firstLine="560" w:firstLineChars="200"/>
        <w:rPr>
          <w:rFonts w:hint="eastAsia" w:ascii="黑体" w:hAnsi="黑体" w:eastAsia="黑体"/>
          <w:kern w:val="2"/>
          <w:sz w:val="28"/>
          <w:szCs w:val="28"/>
        </w:rPr>
      </w:pPr>
      <w:r>
        <w:rPr>
          <w:rFonts w:hint="eastAsia" w:ascii="黑体" w:hAnsi="黑体" w:eastAsia="黑体"/>
          <w:kern w:val="2"/>
          <w:sz w:val="28"/>
          <w:szCs w:val="28"/>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无</w:t>
      </w:r>
    </w:p>
    <w:sectPr>
      <w:footerReference r:id="rId3" w:type="default"/>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4875530</wp:posOffset>
              </wp:positionH>
              <wp:positionV relativeFrom="paragraph">
                <wp:posOffset>-161290</wp:posOffset>
              </wp:positionV>
              <wp:extent cx="505460" cy="2933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05460" cy="293370"/>
                      </a:xfrm>
                      <a:prstGeom prst="rect">
                        <a:avLst/>
                      </a:prstGeom>
                      <a:noFill/>
                      <a:ln w="9525">
                        <a:noFill/>
                      </a:ln>
                    </wps:spPr>
                    <wps:txbx>
                      <w:txbxContent>
                        <w:p>
                          <w:pPr>
                            <w:pStyle w:val="3"/>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lang w:val="zh-CN"/>
                            </w:rPr>
                            <w:fldChar w:fldCharType="end"/>
                          </w:r>
                          <w:r>
                            <w:rPr>
                              <w:rFonts w:hint="eastAsia" w:ascii="宋体" w:hAnsi="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left:383.9pt;margin-top:-12.7pt;height:23.1pt;width:39.8pt;mso-position-horizontal-relative:margin;z-index:251659264;mso-width-relative:page;mso-height-relative:page;" filled="f" stroked="f" coordsize="21600,21600" o:gfxdata="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w0l1NoAAAAKAQAADwAAAAAAAAABACAAAAAiAAAAZHJzL2Rvd25y&#10;ZXYueG1sUEsBAhQAFAAAAAgAh07iQNbWZyXDAQAAegMAAA4AAAAAAAAAAQAgAAAAKQEAAGRycy9l&#10;Mm9Eb2MueG1sUEsFBgAAAAAGAAYAWQEAAF4FAAAAAA==&#10;">
              <v:fill on="f" focussize="0,0"/>
              <v:stroke on="f"/>
              <v:imagedata o:title=""/>
              <o:lock v:ext="edit" aspectratio="f"/>
              <v:textbox inset="0mm,0mm,0mm,0mm">
                <w:txbxContent>
                  <w:p>
                    <w:pPr>
                      <w:pStyle w:val="3"/>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lang w:val="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2167F"/>
    <w:rsid w:val="000D147A"/>
    <w:rsid w:val="001A04C4"/>
    <w:rsid w:val="01340476"/>
    <w:rsid w:val="028C7979"/>
    <w:rsid w:val="05B61B4E"/>
    <w:rsid w:val="06603318"/>
    <w:rsid w:val="0AB93403"/>
    <w:rsid w:val="0BC76EDF"/>
    <w:rsid w:val="12162BC3"/>
    <w:rsid w:val="15F80A51"/>
    <w:rsid w:val="1ABB1E51"/>
    <w:rsid w:val="1B52167F"/>
    <w:rsid w:val="1BA6520F"/>
    <w:rsid w:val="1C146B8B"/>
    <w:rsid w:val="1DF826DA"/>
    <w:rsid w:val="1F344F4C"/>
    <w:rsid w:val="21DE6364"/>
    <w:rsid w:val="25D91600"/>
    <w:rsid w:val="26112622"/>
    <w:rsid w:val="26AC54EE"/>
    <w:rsid w:val="27847CD5"/>
    <w:rsid w:val="28960F1D"/>
    <w:rsid w:val="2B050398"/>
    <w:rsid w:val="2B21184B"/>
    <w:rsid w:val="2B2238C6"/>
    <w:rsid w:val="2F46272D"/>
    <w:rsid w:val="30842788"/>
    <w:rsid w:val="324E0BAA"/>
    <w:rsid w:val="33277A78"/>
    <w:rsid w:val="35A66AF3"/>
    <w:rsid w:val="39C821E3"/>
    <w:rsid w:val="3AF006C4"/>
    <w:rsid w:val="3D2F128A"/>
    <w:rsid w:val="3D602172"/>
    <w:rsid w:val="3E7E098E"/>
    <w:rsid w:val="3FF20CC7"/>
    <w:rsid w:val="40F21DE6"/>
    <w:rsid w:val="42854902"/>
    <w:rsid w:val="43B976CF"/>
    <w:rsid w:val="48CC27F8"/>
    <w:rsid w:val="493B04AA"/>
    <w:rsid w:val="4D0B7F44"/>
    <w:rsid w:val="4E5B1CD1"/>
    <w:rsid w:val="4E805A33"/>
    <w:rsid w:val="52901EFC"/>
    <w:rsid w:val="54C95667"/>
    <w:rsid w:val="56433B01"/>
    <w:rsid w:val="58E33EC2"/>
    <w:rsid w:val="5D224E93"/>
    <w:rsid w:val="5EB41900"/>
    <w:rsid w:val="5EFA13AB"/>
    <w:rsid w:val="5F861681"/>
    <w:rsid w:val="64CA14BC"/>
    <w:rsid w:val="672C74B8"/>
    <w:rsid w:val="704E2B23"/>
    <w:rsid w:val="7097000D"/>
    <w:rsid w:val="729734A2"/>
    <w:rsid w:val="73851F0A"/>
    <w:rsid w:val="77BB6913"/>
    <w:rsid w:val="780E5B32"/>
    <w:rsid w:val="7A266D95"/>
    <w:rsid w:val="7A3203C5"/>
    <w:rsid w:val="7A4605A8"/>
    <w:rsid w:val="7B95308A"/>
    <w:rsid w:val="7D451B53"/>
    <w:rsid w:val="7FAF3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spacing w:line="240" w:lineRule="auto"/>
      <w:ind w:left="420" w:leftChars="200" w:firstLine="210"/>
      <w:jc w:val="both"/>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2020-12-30T07:02:00Z</dcterms:created>
  <dc:creator>Administrator</dc:creator>
  <cp:lastModifiedBy>Administrator</cp:lastModifiedBy>
  <dcterms:modified xsi:type="dcterms:W3CDTF">2021-04-29T08:42:24Z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FFB94B6C43564219AFBC1FB0C338E6C9</vt:lpwstr>
  </property>
</Properties>
</file>