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i w:val="0"/>
          <w:iCs w:val="0"/>
          <w:caps w:val="0"/>
          <w:color w:val="333333"/>
          <w:spacing w:val="0"/>
          <w:kern w:val="0"/>
          <w:sz w:val="44"/>
          <w:szCs w:val="44"/>
          <w:shd w:val="clear" w:fill="FFFFFF"/>
          <w:lang w:val="en-US" w:eastAsia="zh-CN" w:bidi="ar"/>
        </w:rPr>
      </w:pPr>
      <w:r>
        <w:rPr>
          <w:rFonts w:hint="eastAsia" w:ascii="宋体" w:hAnsi="宋体" w:eastAsia="宋体" w:cs="宋体"/>
          <w:b/>
          <w:bCs/>
          <w:i w:val="0"/>
          <w:iCs w:val="0"/>
          <w:caps w:val="0"/>
          <w:color w:val="333333"/>
          <w:spacing w:val="0"/>
          <w:kern w:val="0"/>
          <w:sz w:val="44"/>
          <w:szCs w:val="44"/>
          <w:shd w:val="clear" w:fill="FFFFFF"/>
          <w:lang w:val="en-US" w:eastAsia="zh-CN" w:bidi="ar"/>
        </w:rPr>
        <w:t>董家镇2021年政府信息公开工作年度报告</w:t>
      </w:r>
    </w:p>
    <w:p>
      <w:pPr>
        <w:keepNext w:val="0"/>
        <w:keepLines w:val="0"/>
        <w:widowControl/>
        <w:suppressLineNumbers w:val="0"/>
        <w:jc w:val="center"/>
        <w:rPr>
          <w:rFonts w:hint="eastAsia" w:ascii="宋体" w:hAnsi="宋体" w:eastAsia="宋体" w:cs="宋体"/>
          <w:b/>
          <w:bCs/>
          <w:i w:val="0"/>
          <w:iCs w:val="0"/>
          <w:caps w:val="0"/>
          <w:color w:val="333333"/>
          <w:spacing w:val="0"/>
          <w:kern w:val="0"/>
          <w:sz w:val="36"/>
          <w:szCs w:val="36"/>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4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Style w:val="5"/>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董家镇党政办公室编制，本年度报告中所列数据统计期限自2021年1月1日至2021年12月31日止，并通过丰城市人民政府门户网站中“政府信息公开年报”栏目（网址:http://www.jxfc.gov.cn/xxgk-show-123647.html）等平台向社会主动公开，如对本年报有疑问，请与丰城市董家镇党政办公室联系（地址：</w:t>
      </w:r>
      <w:r>
        <w:rPr>
          <w:rFonts w:hint="eastAsia" w:ascii="仿宋" w:hAnsi="仿宋" w:eastAsia="仿宋" w:cs="仿宋"/>
          <w:i w:val="0"/>
          <w:iCs w:val="0"/>
          <w:caps w:val="0"/>
          <w:color w:val="333333"/>
          <w:spacing w:val="0"/>
          <w:sz w:val="32"/>
          <w:szCs w:val="32"/>
        </w:rPr>
        <w:t>江西省</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丰城市董家镇</w:t>
      </w:r>
      <w:r>
        <w:rPr>
          <w:rFonts w:hint="eastAsia" w:ascii="仿宋" w:hAnsi="仿宋" w:eastAsia="仿宋" w:cs="仿宋"/>
          <w:i w:val="0"/>
          <w:iCs w:val="0"/>
          <w:caps w:val="0"/>
          <w:color w:val="333333"/>
          <w:spacing w:val="0"/>
          <w:sz w:val="32"/>
          <w:szCs w:val="32"/>
          <w:lang w:eastAsia="zh-CN"/>
        </w:rPr>
        <w:t>朝阳</w:t>
      </w:r>
      <w:r>
        <w:rPr>
          <w:rFonts w:hint="eastAsia" w:ascii="仿宋" w:hAnsi="仿宋" w:eastAsia="仿宋" w:cs="仿宋"/>
          <w:i w:val="0"/>
          <w:iCs w:val="0"/>
          <w:caps w:val="0"/>
          <w:color w:val="333333"/>
          <w:spacing w:val="0"/>
          <w:sz w:val="32"/>
          <w:szCs w:val="32"/>
        </w:rPr>
        <w:t>路</w:t>
      </w:r>
      <w:r>
        <w:rPr>
          <w:rFonts w:hint="eastAsia" w:ascii="仿宋" w:hAnsi="仿宋" w:eastAsia="仿宋" w:cs="仿宋"/>
          <w:i w:val="0"/>
          <w:iCs w:val="0"/>
          <w:caps w:val="0"/>
          <w:color w:val="333333"/>
          <w:spacing w:val="0"/>
          <w:sz w:val="32"/>
          <w:szCs w:val="32"/>
          <w:lang w:val="en-US" w:eastAsia="zh-CN"/>
        </w:rPr>
        <w:t>63</w:t>
      </w:r>
      <w:r>
        <w:rPr>
          <w:rFonts w:hint="eastAsia" w:ascii="仿宋" w:hAnsi="仿宋" w:eastAsia="仿宋" w:cs="仿宋"/>
          <w:i w:val="0"/>
          <w:iCs w:val="0"/>
          <w:caps w:val="0"/>
          <w:color w:val="333333"/>
          <w:spacing w:val="0"/>
          <w:sz w:val="32"/>
          <w:szCs w:val="32"/>
        </w:rPr>
        <w:t>号</w:t>
      </w:r>
      <w:r>
        <w:rPr>
          <w:rFonts w:hint="eastAsia" w:ascii="仿宋" w:hAnsi="仿宋" w:eastAsia="仿宋" w:cs="仿宋"/>
          <w:i w:val="0"/>
          <w:iCs w:val="0"/>
          <w:caps w:val="0"/>
          <w:color w:val="333333"/>
          <w:spacing w:val="0"/>
          <w:sz w:val="32"/>
          <w:szCs w:val="32"/>
          <w:lang w:val="en-US" w:eastAsia="zh-CN"/>
        </w:rPr>
        <w:t>董家镇人民政府二楼</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，电话：0795--6262166）。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right="0"/>
        <w:jc w:val="both"/>
        <w:rPr>
          <w:rStyle w:val="5"/>
          <w:rFonts w:hint="eastAsia" w:ascii="仿宋_GB2312" w:hAnsi="微软雅黑" w:eastAsia="仿宋_GB2312" w:cs="仿宋_GB2312"/>
          <w:i w:val="0"/>
          <w:iCs w:val="0"/>
          <w:caps w:val="0"/>
          <w:color w:val="333333"/>
          <w:spacing w:val="0"/>
          <w:sz w:val="31"/>
          <w:szCs w:val="31"/>
          <w:shd w:val="clear" w:fill="FFFFFF"/>
        </w:rPr>
      </w:pPr>
      <w:r>
        <w:rPr>
          <w:rStyle w:val="5"/>
          <w:rFonts w:hint="eastAsia" w:ascii="仿宋_GB2312" w:hAnsi="微软雅黑" w:eastAsia="仿宋_GB2312" w:cs="仿宋_GB2312"/>
          <w:i w:val="0"/>
          <w:iCs w:val="0"/>
          <w:caps w:val="0"/>
          <w:color w:val="333333"/>
          <w:spacing w:val="0"/>
          <w:sz w:val="31"/>
          <w:szCs w:val="31"/>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left="0" w:right="0" w:firstLine="645"/>
        <w:jc w:val="both"/>
      </w:pPr>
      <w:r>
        <w:rPr>
          <w:rFonts w:hint="eastAsia" w:ascii="仿宋_GB2312" w:hAnsi="微软雅黑" w:eastAsia="仿宋_GB2312" w:cs="仿宋_GB2312"/>
          <w:i w:val="0"/>
          <w:iCs w:val="0"/>
          <w:caps w:val="0"/>
          <w:color w:val="333333"/>
          <w:spacing w:val="0"/>
          <w:sz w:val="31"/>
          <w:szCs w:val="31"/>
          <w:shd w:val="clear" w:fill="FFFFFF"/>
        </w:rPr>
        <w:t>为确保政府信息公开工作有序推进，保证各项工作的有序进行，镇人民政府成立了由党委书记担任组长，分管领导担任副组长，各股室负责人为成员的领导小组，按照主要领导亲自抓，分管领导具体抓，指定专人负责政务公开工作，建立健全了信息公开制度，压实了工作责任，强化了工作措施，确保了各项工作正常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left="0" w:right="0" w:firstLine="645"/>
        <w:jc w:val="both"/>
      </w:pPr>
      <w:r>
        <w:rPr>
          <w:rStyle w:val="5"/>
          <w:rFonts w:hint="eastAsia" w:ascii="仿宋_GB2312" w:hAnsi="微软雅黑" w:eastAsia="仿宋_GB2312" w:cs="仿宋_GB2312"/>
          <w:i w:val="0"/>
          <w:iCs w:val="0"/>
          <w:caps w:val="0"/>
          <w:color w:val="333333"/>
          <w:spacing w:val="0"/>
          <w:sz w:val="31"/>
          <w:szCs w:val="31"/>
          <w:shd w:val="clear" w:fill="FFFFFF"/>
        </w:rPr>
        <w:t>（一）主动公开情况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left="0" w:right="0" w:firstLine="645"/>
        <w:jc w:val="both"/>
      </w:pPr>
      <w:r>
        <w:rPr>
          <w:rFonts w:hint="eastAsia" w:ascii="仿宋_GB2312" w:hAnsi="仿宋_GB2312" w:eastAsia="仿宋_GB2312" w:cs="仿宋_GB2312"/>
          <w:i w:val="0"/>
          <w:iCs w:val="0"/>
          <w:caps w:val="0"/>
          <w:color w:val="333333"/>
          <w:spacing w:val="0"/>
          <w:sz w:val="31"/>
          <w:szCs w:val="31"/>
          <w:shd w:val="clear" w:fill="FFFFFF"/>
        </w:rPr>
        <w:t>按照政府信息“以公开为原则、不公开为例外”的基本要求，结合我镇工作实际，2021</w:t>
      </w:r>
      <w:r>
        <w:rPr>
          <w:rFonts w:hint="eastAsia" w:ascii="仿宋_GB2312" w:hAnsi="微软雅黑" w:eastAsia="仿宋_GB2312" w:cs="仿宋_GB2312"/>
          <w:i w:val="0"/>
          <w:iCs w:val="0"/>
          <w:caps w:val="0"/>
          <w:color w:val="333333"/>
          <w:spacing w:val="0"/>
          <w:sz w:val="31"/>
          <w:szCs w:val="31"/>
          <w:shd w:val="clear" w:fill="FFFFFF"/>
        </w:rPr>
        <w:t>年主动公开信息</w:t>
      </w:r>
      <w:r>
        <w:rPr>
          <w:rFonts w:hint="eastAsia" w:ascii="仿宋_GB2312" w:hAnsi="仿宋_GB2312" w:eastAsia="仿宋_GB2312" w:cs="仿宋_GB2312"/>
          <w:i w:val="0"/>
          <w:iCs w:val="0"/>
          <w:caps w:val="0"/>
          <w:color w:val="333333"/>
          <w:spacing w:val="0"/>
          <w:sz w:val="31"/>
          <w:szCs w:val="31"/>
          <w:shd w:val="clear" w:fill="FFFFFF"/>
        </w:rPr>
        <w:t>57</w:t>
      </w:r>
      <w:r>
        <w:rPr>
          <w:rFonts w:hint="eastAsia" w:ascii="仿宋_GB2312" w:hAnsi="微软雅黑" w:eastAsia="仿宋_GB2312" w:cs="仿宋_GB2312"/>
          <w:i w:val="0"/>
          <w:iCs w:val="0"/>
          <w:caps w:val="0"/>
          <w:color w:val="333333"/>
          <w:spacing w:val="0"/>
          <w:sz w:val="31"/>
          <w:szCs w:val="31"/>
          <w:shd w:val="clear" w:fill="FFFFFF"/>
        </w:rPr>
        <w:t>条。主动公开的类别方面，主要包括机构职能、政策宣传、业务工作等各类信息。主动公开的途径方面，通过董家镇人民政府门户网站进行公开信息。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left="0" w:right="0" w:firstLine="645"/>
        <w:jc w:val="both"/>
      </w:pPr>
      <w:r>
        <w:rPr>
          <w:rStyle w:val="5"/>
          <w:rFonts w:hint="eastAsia" w:ascii="仿宋_GB2312" w:hAnsi="微软雅黑" w:eastAsia="仿宋_GB2312" w:cs="仿宋_GB2312"/>
          <w:i w:val="0"/>
          <w:iCs w:val="0"/>
          <w:caps w:val="0"/>
          <w:color w:val="333333"/>
          <w:spacing w:val="0"/>
          <w:sz w:val="31"/>
          <w:szCs w:val="31"/>
          <w:shd w:val="clear" w:fill="FFFFFF"/>
        </w:rPr>
        <w:t>（二）依申请公开信息工作情况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2021年，董家镇高度重视依申请公开工作，稳步推进依申请公开工作。2021年，董家镇未</w:t>
      </w:r>
      <w:r>
        <w:rPr>
          <w:rFonts w:hint="default" w:ascii="华文仿宋" w:hAnsi="华文仿宋" w:eastAsia="华文仿宋" w:cs="华文仿宋"/>
          <w:i w:val="0"/>
          <w:iCs w:val="0"/>
          <w:caps w:val="0"/>
          <w:color w:val="auto"/>
          <w:spacing w:val="0"/>
          <w:sz w:val="32"/>
          <w:szCs w:val="32"/>
        </w:rPr>
        <w:t>收到依申请公开信息</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pPr>
      <w:r>
        <w:rPr>
          <w:rStyle w:val="5"/>
          <w:rFonts w:hint="eastAsia" w:ascii="仿宋_GB2312" w:hAnsi="微软雅黑" w:eastAsia="仿宋_GB2312" w:cs="仿宋_GB2312"/>
          <w:i w:val="0"/>
          <w:iCs w:val="0"/>
          <w:caps w:val="0"/>
          <w:color w:val="333333"/>
          <w:spacing w:val="0"/>
          <w:sz w:val="31"/>
          <w:szCs w:val="31"/>
          <w:shd w:val="clear" w:fill="FFFFFF"/>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50" w:lineRule="atLeast"/>
        <w:ind w:left="0" w:right="0" w:firstLine="555"/>
        <w:jc w:val="both"/>
      </w:pPr>
      <w:r>
        <w:rPr>
          <w:rFonts w:hint="eastAsia" w:ascii="仿宋_GB2312" w:hAnsi="微软雅黑" w:eastAsia="仿宋_GB2312" w:cs="仿宋_GB2312"/>
          <w:i w:val="0"/>
          <w:iCs w:val="0"/>
          <w:caps w:val="0"/>
          <w:color w:val="333333"/>
          <w:spacing w:val="0"/>
          <w:sz w:val="31"/>
          <w:szCs w:val="31"/>
          <w:shd w:val="clear" w:fill="FFFFFF"/>
        </w:rPr>
        <w:t>为确保政务公开各项工作落到实处，我镇成立了由镇党委组织委员任组长的政务公开工作领导小组，下设办公室在镇党政办，负责督促落实关于政务公开的一系列部署。我镇及时公布了政府信息公开目录、指南等内容，切实加强对平台栏目设置规范性、信息及时有效性、查询利用便捷度等方面的监测、指导，重要政府信息发布的时效性、准确性不断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50" w:lineRule="atLeast"/>
        <w:ind w:left="0" w:right="0" w:firstLine="555"/>
        <w:jc w:val="both"/>
      </w:pPr>
      <w:r>
        <w:rPr>
          <w:rStyle w:val="5"/>
          <w:rFonts w:hint="eastAsia" w:ascii="仿宋_GB2312" w:hAnsi="微软雅黑" w:eastAsia="仿宋_GB2312" w:cs="仿宋_GB2312"/>
          <w:i w:val="0"/>
          <w:iCs w:val="0"/>
          <w:caps w:val="0"/>
          <w:color w:val="333333"/>
          <w:spacing w:val="0"/>
          <w:sz w:val="31"/>
          <w:szCs w:val="31"/>
          <w:shd w:val="clear" w:fill="FFFFFF"/>
        </w:rPr>
        <w:t>（四）公开平台建设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50" w:lineRule="atLeast"/>
        <w:ind w:left="0" w:right="0" w:firstLine="555"/>
        <w:jc w:val="both"/>
      </w:pPr>
      <w:r>
        <w:rPr>
          <w:rFonts w:hint="eastAsia" w:ascii="仿宋_GB2312" w:hAnsi="仿宋_GB2312" w:eastAsia="仿宋_GB2312" w:cs="仿宋_GB2312"/>
          <w:i w:val="0"/>
          <w:iCs w:val="0"/>
          <w:caps w:val="0"/>
          <w:color w:val="333333"/>
          <w:spacing w:val="0"/>
          <w:sz w:val="31"/>
          <w:szCs w:val="31"/>
          <w:shd w:val="clear" w:fill="FFFFFF"/>
        </w:rPr>
        <w:t>四是平台建设情况。充分发挥董家镇政府网站作用，不断维护优化董家镇公开信息，确保信息公开及时准确。董家镇围绕疫情防控、党史学习教育、巩固脱贫攻坚成果等重点工作在江西日报、宜春日报、丰城报等市级以上新闻媒体发布报道、刊登稿件100余篇。在董家镇便民服务大厅设置自助查阅平台，方便有需要的群众及时获取政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50" w:lineRule="atLeast"/>
        <w:ind w:left="0" w:right="0" w:firstLine="555"/>
        <w:jc w:val="both"/>
      </w:pPr>
      <w:r>
        <w:rPr>
          <w:rStyle w:val="5"/>
          <w:rFonts w:hint="eastAsia" w:ascii="仿宋_GB2312" w:hAnsi="微软雅黑" w:eastAsia="仿宋_GB2312" w:cs="仿宋_GB2312"/>
          <w:i w:val="0"/>
          <w:iCs w:val="0"/>
          <w:caps w:val="0"/>
          <w:color w:val="333333"/>
          <w:spacing w:val="0"/>
          <w:sz w:val="31"/>
          <w:szCs w:val="31"/>
          <w:shd w:val="clear" w:fill="FFFFFF"/>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555"/>
        <w:jc w:val="both"/>
      </w:pPr>
      <w:r>
        <w:rPr>
          <w:rFonts w:hint="eastAsia" w:ascii="仿宋_GB2312" w:hAnsi="仿宋_GB2312" w:eastAsia="仿宋_GB2312" w:cs="仿宋_GB2312"/>
          <w:i w:val="0"/>
          <w:iCs w:val="0"/>
          <w:caps w:val="0"/>
          <w:color w:val="333333"/>
          <w:spacing w:val="0"/>
          <w:sz w:val="31"/>
          <w:szCs w:val="31"/>
          <w:shd w:val="clear" w:fill="FFFFFF"/>
        </w:rPr>
        <w:t>一、明确责任。为适应新时代对政务公开需求，我镇配备1名专职和1名兼职人员重点做好政务公开工作，形成了镇主要负责人、分管负责人和专职人员三级联动，确保责任压实到位、有人管事、有人干事。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555"/>
        <w:jc w:val="both"/>
      </w:pPr>
      <w:r>
        <w:rPr>
          <w:rFonts w:hint="eastAsia" w:ascii="仿宋_GB2312" w:hAnsi="仿宋_GB2312" w:eastAsia="仿宋_GB2312" w:cs="仿宋_GB2312"/>
          <w:i w:val="0"/>
          <w:iCs w:val="0"/>
          <w:caps w:val="0"/>
          <w:color w:val="333333"/>
          <w:spacing w:val="0"/>
          <w:sz w:val="31"/>
          <w:szCs w:val="31"/>
          <w:shd w:val="clear" w:fill="FFFFFF"/>
        </w:rPr>
        <w:t>二、强化监督。2021年，我镇进一步完善信息公开机制，围绕中心工作，及时、准确填报应公开的信息，积极接受各种渠道的监督，尤其对于群众关切的热点、投诉的问题、反映的困难，董家镇第一时间进行响应，根据职责安排专人负责跟进，及时予以回应答复，努力提升公众满意度。严格遵守信息保密审查制度，确保涉密信息不公开，公开信息不涉密。同时，强化监督检查工作，实行定期检查与不定期检查相结合，鼓励干部、群众积极参与监督，积极反映公开过程中存在的突出问题，使公开工作更加扎实、有序开展。凡属于涉及公共利益、公众权益、群众关切及需要社会广泛知晓的政府信息，都依法、全面、准确、及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555"/>
        <w:jc w:val="both"/>
      </w:pPr>
      <w:r>
        <w:rPr>
          <w:rFonts w:hint="eastAsia" w:ascii="仿宋_GB2312" w:hAnsi="仿宋_GB2312" w:eastAsia="仿宋_GB2312" w:cs="仿宋_GB2312"/>
          <w:i w:val="0"/>
          <w:iCs w:val="0"/>
          <w:caps w:val="0"/>
          <w:color w:val="333333"/>
          <w:spacing w:val="0"/>
          <w:sz w:val="31"/>
          <w:szCs w:val="31"/>
          <w:shd w:val="clear" w:fill="FFFFFF"/>
        </w:rPr>
        <w:t>2021年我镇在市政务公开工作考核中取得了良好成绩，接受各单位和群众的社会监督、社会评议，社会群众对我街道信息公开评议结果较好。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450" w:lineRule="atLeast"/>
        <w:ind w:left="0" w:right="0" w:firstLine="555"/>
        <w:jc w:val="both"/>
        <w:rPr>
          <w:rFonts w:hint="eastAsia"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i w:val="0"/>
          <w:iCs w:val="0"/>
          <w:caps w:val="0"/>
          <w:color w:val="333333"/>
          <w:spacing w:val="0"/>
          <w:sz w:val="31"/>
          <w:szCs w:val="31"/>
          <w:shd w:val="clear" w:fill="FFFFFF"/>
        </w:rPr>
        <w:t>2021年我镇未发生政务公开责任追究情况。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right="0"/>
        <w:jc w:val="both"/>
        <w:rPr>
          <w:rFonts w:hint="eastAsia" w:ascii="仿宋_GB2312" w:hAnsi="仿宋_GB2312" w:eastAsia="仿宋_GB2312" w:cs="仿宋_GB2312"/>
          <w:i w:val="0"/>
          <w:iCs w:val="0"/>
          <w:caps w:val="0"/>
          <w:color w:val="333333"/>
          <w:spacing w:val="0"/>
          <w:sz w:val="31"/>
          <w:szCs w:val="31"/>
          <w:shd w:val="clear" w:fill="FFFFFF"/>
        </w:rPr>
      </w:pPr>
      <w:r>
        <w:rPr>
          <w:rStyle w:val="5"/>
          <w:rFonts w:hint="eastAsia" w:ascii="仿宋_GB2312" w:hAnsi="微软雅黑" w:eastAsia="仿宋_GB2312" w:cs="仿宋_GB2312"/>
          <w:i w:val="0"/>
          <w:iCs w:val="0"/>
          <w:caps w:val="0"/>
          <w:color w:val="333333"/>
          <w:spacing w:val="0"/>
          <w:sz w:val="31"/>
          <w:szCs w:val="31"/>
          <w:shd w:val="clear" w:fill="FFFFFF"/>
        </w:rPr>
        <w:t>二、主动公开政府信息情况</w:t>
      </w:r>
    </w:p>
    <w:tbl>
      <w:tblPr>
        <w:tblStyle w:val="3"/>
        <w:tblpPr w:leftFromText="180" w:rightFromText="180" w:vertAnchor="text" w:horzAnchor="page" w:tblpX="1215" w:tblpY="613"/>
        <w:tblOverlap w:val="never"/>
        <w:tblW w:w="6336" w:type="pct"/>
        <w:tblCellSpacing w:w="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416"/>
        <w:gridCol w:w="2364"/>
        <w:gridCol w:w="2364"/>
        <w:gridCol w:w="260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trPr>
        <w:tc>
          <w:tcPr>
            <w:tcW w:w="5000" w:type="pct"/>
            <w:gridSpan w:val="4"/>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Style w:val="5"/>
                <w:rFonts w:hint="eastAsia" w:ascii="仿宋_GB2312" w:hAnsi="仿宋_GB2312" w:eastAsia="仿宋_GB2312" w:cs="仿宋_GB2312"/>
                <w:sz w:val="24"/>
                <w:szCs w:val="24"/>
              </w:rPr>
              <w:t>第二十条第（一）项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trPr>
        <w:tc>
          <w:tcPr>
            <w:tcW w:w="1589" w:type="pc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信息内容</w:t>
            </w:r>
          </w:p>
        </w:tc>
        <w:tc>
          <w:tcPr>
            <w:tcW w:w="1099"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本年制发件数</w:t>
            </w:r>
          </w:p>
        </w:tc>
        <w:tc>
          <w:tcPr>
            <w:tcW w:w="1099"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本年废止件数</w:t>
            </w:r>
          </w:p>
        </w:tc>
        <w:tc>
          <w:tcPr>
            <w:tcW w:w="1211"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现行有效件数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1589" w:type="pc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规章</w:t>
            </w:r>
          </w:p>
        </w:tc>
        <w:tc>
          <w:tcPr>
            <w:tcW w:w="1099"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1099"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1211"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1589" w:type="pc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行政规范性文件</w:t>
            </w:r>
          </w:p>
        </w:tc>
        <w:tc>
          <w:tcPr>
            <w:tcW w:w="1099"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Theme="minorEastAsia"/>
                <w:lang w:eastAsia="zh-CN"/>
              </w:rPr>
            </w:pPr>
            <w:r>
              <w:rPr>
                <w:rFonts w:hint="eastAsia" w:ascii="仿宋_GB2312" w:hAnsi="仿宋_GB2312" w:eastAsia="仿宋_GB2312" w:cs="仿宋_GB2312"/>
                <w:sz w:val="18"/>
                <w:szCs w:val="18"/>
                <w:lang w:val="en-US" w:eastAsia="zh-CN"/>
              </w:rPr>
              <w:t>4</w:t>
            </w:r>
          </w:p>
        </w:tc>
        <w:tc>
          <w:tcPr>
            <w:tcW w:w="1099"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1211"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Theme="minorEastAsia"/>
                <w:lang w:eastAsia="zh-CN"/>
              </w:rPr>
            </w:pPr>
            <w:r>
              <w:rPr>
                <w:rFonts w:hint="eastAsia" w:ascii="仿宋_GB2312" w:hAnsi="仿宋_GB2312" w:eastAsia="仿宋_GB2312" w:cs="仿宋_GB2312"/>
                <w:sz w:val="18"/>
                <w:szCs w:val="18"/>
                <w:lang w:val="en-US" w:eastAsia="zh-CN"/>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5000" w:type="pct"/>
            <w:gridSpan w:val="4"/>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Style w:val="5"/>
                <w:rFonts w:hint="eastAsia" w:ascii="仿宋_GB2312" w:hAnsi="仿宋_GB2312" w:eastAsia="仿宋_GB2312" w:cs="仿宋_GB2312"/>
                <w:sz w:val="24"/>
                <w:szCs w:val="24"/>
              </w:rPr>
              <w:t>第二十条第（五）项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1589" w:type="pc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信息内容</w:t>
            </w:r>
          </w:p>
        </w:tc>
        <w:tc>
          <w:tcPr>
            <w:tcW w:w="3410" w:type="pct"/>
            <w:gridSpan w:val="3"/>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本年处理决定数量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1589" w:type="pc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行政许可</w:t>
            </w:r>
          </w:p>
        </w:tc>
        <w:tc>
          <w:tcPr>
            <w:tcW w:w="3410" w:type="pct"/>
            <w:gridSpan w:val="3"/>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5000" w:type="pct"/>
            <w:gridSpan w:val="4"/>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Style w:val="5"/>
                <w:rFonts w:hint="eastAsia" w:ascii="仿宋_GB2312" w:hAnsi="仿宋_GB2312" w:eastAsia="仿宋_GB2312" w:cs="仿宋_GB2312"/>
                <w:sz w:val="24"/>
                <w:szCs w:val="24"/>
              </w:rPr>
              <w:t>第二十条第（六）项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1589" w:type="pc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信息内容</w:t>
            </w:r>
          </w:p>
        </w:tc>
        <w:tc>
          <w:tcPr>
            <w:tcW w:w="3410" w:type="pct"/>
            <w:gridSpan w:val="3"/>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本年处理决定数量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1589" w:type="pc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行政许可</w:t>
            </w:r>
          </w:p>
        </w:tc>
        <w:tc>
          <w:tcPr>
            <w:tcW w:w="3410" w:type="pct"/>
            <w:gridSpan w:val="3"/>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1589" w:type="pc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行政强制</w:t>
            </w:r>
          </w:p>
        </w:tc>
        <w:tc>
          <w:tcPr>
            <w:tcW w:w="3410" w:type="pct"/>
            <w:gridSpan w:val="3"/>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5000" w:type="pct"/>
            <w:gridSpan w:val="4"/>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Style w:val="5"/>
                <w:rFonts w:hint="eastAsia" w:ascii="仿宋_GB2312" w:hAnsi="仿宋_GB2312" w:eastAsia="仿宋_GB2312" w:cs="仿宋_GB2312"/>
                <w:sz w:val="24"/>
                <w:szCs w:val="24"/>
              </w:rPr>
              <w:t>第二十条第（八）项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1589" w:type="pc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信息内容</w:t>
            </w:r>
          </w:p>
        </w:tc>
        <w:tc>
          <w:tcPr>
            <w:tcW w:w="3410" w:type="pct"/>
            <w:gridSpan w:val="3"/>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本年收费金额（单位：万元）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1589" w:type="pc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行政事业性收费</w:t>
            </w:r>
          </w:p>
        </w:tc>
        <w:tc>
          <w:tcPr>
            <w:tcW w:w="3410" w:type="pct"/>
            <w:gridSpan w:val="3"/>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left="0" w:right="0"/>
        <w:jc w:val="both"/>
      </w:pPr>
      <w:r>
        <w:rPr>
          <w:rStyle w:val="5"/>
          <w:rFonts w:hint="eastAsia" w:ascii="仿宋_GB2312" w:hAnsi="微软雅黑" w:eastAsia="仿宋_GB2312" w:cs="仿宋_GB2312"/>
          <w:i w:val="0"/>
          <w:iCs w:val="0"/>
          <w:caps w:val="0"/>
          <w:color w:val="333333"/>
          <w:spacing w:val="0"/>
          <w:sz w:val="31"/>
          <w:szCs w:val="31"/>
          <w:shd w:val="clear" w:fill="FFFFFF"/>
        </w:rPr>
        <w:t>三、收到和处理政府信息公开申请情况</w:t>
      </w:r>
    </w:p>
    <w:tbl>
      <w:tblPr>
        <w:tblStyle w:val="3"/>
        <w:tblW w:w="0" w:type="auto"/>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05"/>
        <w:gridCol w:w="1245"/>
        <w:gridCol w:w="990"/>
        <w:gridCol w:w="465"/>
        <w:gridCol w:w="780"/>
        <w:gridCol w:w="780"/>
        <w:gridCol w:w="780"/>
        <w:gridCol w:w="780"/>
        <w:gridCol w:w="810"/>
        <w:gridCol w:w="8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3225" w:type="dxa"/>
            <w:gridSpan w:val="3"/>
            <w:vMerge w:val="restart"/>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（本列数据的勾稽关系为：第一项加第二项之和，等于第三项加第四项之和）</w:t>
            </w:r>
          </w:p>
        </w:tc>
        <w:tc>
          <w:tcPr>
            <w:tcW w:w="5190" w:type="dxa"/>
            <w:gridSpan w:val="7"/>
            <w:tcBorders>
              <w:top w:val="single" w:color="333333" w:sz="6" w:space="0"/>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申请人情况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3225" w:type="dxa"/>
            <w:gridSpan w:val="3"/>
            <w:vMerge w:val="continue"/>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465" w:type="dxa"/>
            <w:vMerge w:val="restar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自然人</w:t>
            </w:r>
          </w:p>
        </w:tc>
        <w:tc>
          <w:tcPr>
            <w:tcW w:w="3915" w:type="dxa"/>
            <w:gridSpan w:val="5"/>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法人或其他组织</w:t>
            </w:r>
          </w:p>
        </w:tc>
        <w:tc>
          <w:tcPr>
            <w:tcW w:w="825" w:type="dxa"/>
            <w:vMerge w:val="restar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总计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3225" w:type="dxa"/>
            <w:gridSpan w:val="3"/>
            <w:vMerge w:val="continue"/>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46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商业企业</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科研机构</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社会公益组织</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法律服务机构</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其他</w:t>
            </w:r>
          </w:p>
        </w:tc>
        <w:tc>
          <w:tcPr>
            <w:tcW w:w="82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3225" w:type="dxa"/>
            <w:gridSpan w:val="3"/>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一、本年新收政府信息公开申请数量</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3225" w:type="dxa"/>
            <w:gridSpan w:val="3"/>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二、上年结转政府信息公开申请数量</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restar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三、本年度办理结果</w:t>
            </w:r>
          </w:p>
        </w:tc>
        <w:tc>
          <w:tcPr>
            <w:tcW w:w="2235" w:type="dxa"/>
            <w:gridSpan w:val="2"/>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（一）予以公开</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2235" w:type="dxa"/>
            <w:gridSpan w:val="2"/>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（二）部分公开（区分处理的，只计这一情形，不计其他情形）</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restar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不予公开</w:t>
            </w: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1.属于国家秘密</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2.其他法律行政法规禁止公开</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3.危及“三安全一稳定”</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4.保护第三方合法权益</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5.属于三类内部事务信息</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6.属于四类过程性信息</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7.属于行政执法案卷</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8.属于行政查询事项</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restar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无法提供</w:t>
            </w: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1.本机关不掌握相关政府信息</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2.没有现成信息需要另行制作</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3.补正后申请内容仍不明确</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restar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 </w:t>
            </w: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1.信访举报投诉类申请</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2. 重复申请</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3. 要求提供公开出版物</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4. 无正当理由大量反复申请</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5. 要求行政机关确认或重新出具已获取信息</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restart"/>
            <w:tcBorders>
              <w:top w:val="nil"/>
              <w:left w:val="nil"/>
              <w:bottom w:val="nil"/>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（六）其他处理</w:t>
            </w: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1.申请人无正当理由逾期不补正</w:t>
            </w:r>
            <w:r>
              <w:rPr>
                <w:rFonts w:hint="eastAsia" w:ascii="仿宋_GB2312" w:hAnsi="仿宋_GB2312" w:eastAsia="仿宋_GB2312" w:cs="仿宋_GB2312"/>
                <w:spacing w:val="0"/>
                <w:sz w:val="18"/>
                <w:szCs w:val="18"/>
              </w:rPr>
              <w:t>、行政机关不再处理其政府信息公开申请</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nil"/>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2.申请人逾期未按收费通知要求缴纳费用</w:t>
            </w:r>
            <w:r>
              <w:rPr>
                <w:rFonts w:hint="eastAsia" w:ascii="仿宋_GB2312" w:hAnsi="仿宋_GB2312" w:eastAsia="仿宋_GB2312" w:cs="仿宋_GB2312"/>
                <w:spacing w:val="0"/>
                <w:sz w:val="18"/>
                <w:szCs w:val="18"/>
              </w:rPr>
              <w:t>、行政机关不再处理其政府信息公开申请</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仿宋_GB2312"/>
                <w:lang w:val="en-US" w:eastAsia="zh-CN"/>
              </w:rPr>
            </w:pPr>
            <w:r>
              <w:rPr>
                <w:rFonts w:hint="eastAsia" w:ascii="仿宋_GB2312" w:hAnsi="仿宋_GB2312" w:eastAsia="仿宋_GB2312" w:cs="仿宋_GB2312"/>
                <w:sz w:val="18"/>
                <w:szCs w:val="18"/>
              </w:rPr>
              <w:t> </w:t>
            </w:r>
            <w:r>
              <w:rPr>
                <w:rFonts w:hint="eastAsia" w:ascii="仿宋_GB2312" w:hAnsi="仿宋_GB2312" w:eastAsia="仿宋_GB2312" w:cs="仿宋_GB2312"/>
                <w:sz w:val="18"/>
                <w:szCs w:val="18"/>
                <w:lang w:val="en-US" w:eastAsia="zh-CN"/>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仿宋_GB2312"/>
                <w:lang w:val="en-US" w:eastAsia="zh-CN"/>
              </w:rPr>
            </w:pPr>
            <w:r>
              <w:rPr>
                <w:rFonts w:hint="eastAsia" w:ascii="仿宋_GB2312" w:hAnsi="仿宋_GB2312" w:eastAsia="仿宋_GB2312" w:cs="仿宋_GB2312"/>
                <w:sz w:val="18"/>
                <w:szCs w:val="18"/>
              </w:rPr>
              <w:t> </w:t>
            </w:r>
            <w:r>
              <w:rPr>
                <w:rFonts w:hint="eastAsia" w:ascii="仿宋_GB2312" w:hAnsi="仿宋_GB2312" w:eastAsia="仿宋_GB2312" w:cs="仿宋_GB2312"/>
                <w:sz w:val="18"/>
                <w:szCs w:val="18"/>
                <w:lang w:val="en-US" w:eastAsia="zh-CN"/>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仿宋_GB2312"/>
                <w:lang w:val="en-US" w:eastAsia="zh-CN"/>
              </w:rPr>
            </w:pPr>
            <w:r>
              <w:rPr>
                <w:rFonts w:hint="eastAsia" w:ascii="仿宋_GB2312" w:hAnsi="仿宋_GB2312" w:eastAsia="仿宋_GB2312" w:cs="仿宋_GB2312"/>
                <w:sz w:val="18"/>
                <w:szCs w:val="18"/>
              </w:rPr>
              <w:t> </w:t>
            </w:r>
            <w:r>
              <w:rPr>
                <w:rFonts w:hint="eastAsia" w:ascii="仿宋_GB2312" w:hAnsi="仿宋_GB2312" w:eastAsia="仿宋_GB2312" w:cs="仿宋_GB2312"/>
                <w:sz w:val="18"/>
                <w:szCs w:val="18"/>
                <w:lang w:val="en-US" w:eastAsia="zh-CN"/>
              </w:rPr>
              <w:t>0</w:t>
            </w:r>
            <w:bookmarkStart w:id="0" w:name="_GoBack"/>
            <w:bookmarkEnd w:id="0"/>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仿宋_GB2312"/>
                <w:lang w:val="en-US" w:eastAsia="zh-CN"/>
              </w:rPr>
            </w:pPr>
            <w:r>
              <w:rPr>
                <w:rFonts w:hint="eastAsia" w:ascii="仿宋_GB2312" w:hAnsi="仿宋_GB2312" w:eastAsia="仿宋_GB2312" w:cs="仿宋_GB2312"/>
                <w:sz w:val="18"/>
                <w:szCs w:val="18"/>
              </w:rPr>
              <w:t> </w:t>
            </w:r>
            <w:r>
              <w:rPr>
                <w:rFonts w:hint="eastAsia" w:ascii="仿宋_GB2312" w:hAnsi="仿宋_GB2312" w:eastAsia="仿宋_GB2312" w:cs="仿宋_GB2312"/>
                <w:sz w:val="18"/>
                <w:szCs w:val="18"/>
                <w:lang w:val="en-US" w:eastAsia="zh-CN"/>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仿宋_GB2312"/>
                <w:lang w:val="en-US" w:eastAsia="zh-CN"/>
              </w:rPr>
            </w:pPr>
            <w:r>
              <w:rPr>
                <w:rFonts w:hint="eastAsia" w:ascii="仿宋_GB2312" w:hAnsi="仿宋_GB2312" w:eastAsia="仿宋_GB2312" w:cs="仿宋_GB2312"/>
                <w:sz w:val="18"/>
                <w:szCs w:val="18"/>
              </w:rPr>
              <w:t> </w:t>
            </w:r>
            <w:r>
              <w:rPr>
                <w:rFonts w:hint="eastAsia" w:ascii="仿宋_GB2312" w:hAnsi="仿宋_GB2312" w:eastAsia="仿宋_GB2312" w:cs="仿宋_GB2312"/>
                <w:sz w:val="18"/>
                <w:szCs w:val="18"/>
                <w:lang w:val="en-US" w:eastAsia="zh-CN"/>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仿宋_GB2312"/>
                <w:lang w:val="en-US" w:eastAsia="zh-CN"/>
              </w:rPr>
            </w:pPr>
            <w:r>
              <w:rPr>
                <w:rFonts w:hint="eastAsia" w:ascii="仿宋_GB2312" w:hAnsi="仿宋_GB2312" w:eastAsia="仿宋_GB2312" w:cs="仿宋_GB2312"/>
                <w:sz w:val="18"/>
                <w:szCs w:val="18"/>
              </w:rPr>
              <w:t> </w:t>
            </w:r>
            <w:r>
              <w:rPr>
                <w:rFonts w:hint="eastAsia" w:ascii="仿宋_GB2312" w:hAnsi="仿宋_GB2312" w:eastAsia="仿宋_GB2312" w:cs="仿宋_GB2312"/>
                <w:sz w:val="18"/>
                <w:szCs w:val="18"/>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1245" w:type="dxa"/>
            <w:vMerge w:val="continue"/>
            <w:tcBorders>
              <w:top w:val="nil"/>
              <w:left w:val="nil"/>
              <w:bottom w:val="nil"/>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99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3.其他</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仿宋_GB2312"/>
                <w:lang w:val="en-US" w:eastAsia="zh-CN"/>
              </w:rPr>
            </w:pPr>
            <w:r>
              <w:rPr>
                <w:rFonts w:hint="eastAsia" w:ascii="仿宋_GB2312" w:hAnsi="仿宋_GB2312" w:eastAsia="仿宋_GB2312" w:cs="仿宋_GB2312"/>
                <w:sz w:val="18"/>
                <w:szCs w:val="18"/>
              </w:rPr>
              <w:t> </w:t>
            </w:r>
            <w:r>
              <w:rPr>
                <w:rFonts w:hint="eastAsia" w:ascii="仿宋_GB2312" w:hAnsi="仿宋_GB2312" w:eastAsia="仿宋_GB2312" w:cs="仿宋_GB2312"/>
                <w:sz w:val="18"/>
                <w:szCs w:val="18"/>
                <w:lang w:val="en-US" w:eastAsia="zh-CN"/>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仿宋_GB2312"/>
                <w:lang w:val="en-US" w:eastAsia="zh-CN"/>
              </w:rPr>
            </w:pPr>
            <w:r>
              <w:rPr>
                <w:rFonts w:hint="eastAsia" w:ascii="仿宋_GB2312" w:hAnsi="仿宋_GB2312" w:eastAsia="仿宋_GB2312" w:cs="仿宋_GB2312"/>
                <w:sz w:val="18"/>
                <w:szCs w:val="18"/>
              </w:rPr>
              <w:t> </w:t>
            </w:r>
            <w:r>
              <w:rPr>
                <w:rFonts w:hint="eastAsia" w:ascii="仿宋_GB2312" w:hAnsi="仿宋_GB2312" w:eastAsia="仿宋_GB2312" w:cs="仿宋_GB2312"/>
                <w:sz w:val="18"/>
                <w:szCs w:val="18"/>
                <w:lang w:val="en-US" w:eastAsia="zh-CN"/>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仿宋_GB2312"/>
                <w:lang w:val="en-US" w:eastAsia="zh-CN"/>
              </w:rPr>
            </w:pPr>
            <w:r>
              <w:rPr>
                <w:rFonts w:hint="eastAsia" w:ascii="仿宋_GB2312" w:hAnsi="仿宋_GB2312" w:eastAsia="仿宋_GB2312" w:cs="仿宋_GB2312"/>
                <w:sz w:val="18"/>
                <w:szCs w:val="18"/>
              </w:rPr>
              <w:t> </w:t>
            </w:r>
            <w:r>
              <w:rPr>
                <w:rFonts w:hint="eastAsia" w:ascii="仿宋_GB2312" w:hAnsi="仿宋_GB2312" w:eastAsia="仿宋_GB2312" w:cs="仿宋_GB2312"/>
                <w:sz w:val="18"/>
                <w:szCs w:val="18"/>
                <w:lang w:val="en-US" w:eastAsia="zh-CN"/>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仿宋_GB2312"/>
                <w:lang w:val="en-US" w:eastAsia="zh-CN"/>
              </w:rPr>
            </w:pPr>
            <w:r>
              <w:rPr>
                <w:rFonts w:hint="eastAsia" w:ascii="仿宋_GB2312" w:hAnsi="仿宋_GB2312" w:eastAsia="仿宋_GB2312" w:cs="仿宋_GB2312"/>
                <w:sz w:val="18"/>
                <w:szCs w:val="18"/>
              </w:rPr>
              <w:t> </w:t>
            </w:r>
            <w:r>
              <w:rPr>
                <w:rFonts w:hint="eastAsia" w:ascii="仿宋_GB2312" w:hAnsi="仿宋_GB2312" w:eastAsia="仿宋_GB2312" w:cs="仿宋_GB2312"/>
                <w:sz w:val="18"/>
                <w:szCs w:val="18"/>
                <w:lang w:val="en-US" w:eastAsia="zh-CN"/>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仿宋_GB2312"/>
                <w:lang w:val="en-US" w:eastAsia="zh-CN"/>
              </w:rPr>
            </w:pPr>
            <w:r>
              <w:rPr>
                <w:rFonts w:hint="eastAsia" w:ascii="仿宋_GB2312" w:hAnsi="仿宋_GB2312" w:eastAsia="仿宋_GB2312" w:cs="仿宋_GB2312"/>
                <w:sz w:val="18"/>
                <w:szCs w:val="18"/>
              </w:rPr>
              <w:t> </w:t>
            </w:r>
            <w:r>
              <w:rPr>
                <w:rFonts w:hint="eastAsia" w:ascii="仿宋_GB2312" w:hAnsi="仿宋_GB2312" w:eastAsia="仿宋_GB2312" w:cs="仿宋_GB2312"/>
                <w:sz w:val="18"/>
                <w:szCs w:val="18"/>
                <w:lang w:val="en-US" w:eastAsia="zh-CN"/>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eastAsiaTheme="minorEastAsia"/>
                <w:lang w:val="en-US" w:eastAsia="zh-CN"/>
              </w:rPr>
            </w:pPr>
            <w:r>
              <w:rPr>
                <w:rFonts w:hint="eastAsia" w:ascii="仿宋_GB2312" w:hAnsi="仿宋_GB2312" w:eastAsia="仿宋_GB2312" w:cs="仿宋_GB2312"/>
                <w:sz w:val="18"/>
                <w:szCs w:val="18"/>
                <w:lang w:val="en-US" w:eastAsia="zh-CN"/>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jc w:val="center"/>
        </w:trPr>
        <w:tc>
          <w:tcPr>
            <w:tcW w:w="1005" w:type="dxa"/>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2235" w:type="dxa"/>
            <w:gridSpan w:val="2"/>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（七）总计</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jc w:val="center"/>
        </w:trPr>
        <w:tc>
          <w:tcPr>
            <w:tcW w:w="3225" w:type="dxa"/>
            <w:gridSpan w:val="3"/>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四、结转下年度继续办理</w:t>
            </w:r>
          </w:p>
        </w:tc>
        <w:tc>
          <w:tcPr>
            <w:tcW w:w="46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78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10"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825" w:type="dxa"/>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left="0" w:right="0"/>
        <w:jc w:val="both"/>
      </w:pPr>
      <w:r>
        <w:rPr>
          <w:rStyle w:val="5"/>
          <w:rFonts w:hint="eastAsia" w:ascii="仿宋_GB2312" w:hAnsi="微软雅黑" w:eastAsia="仿宋_GB2312" w:cs="仿宋_GB2312"/>
          <w:i w:val="0"/>
          <w:iCs w:val="0"/>
          <w:caps w:val="0"/>
          <w:color w:val="333333"/>
          <w:spacing w:val="0"/>
          <w:sz w:val="31"/>
          <w:szCs w:val="31"/>
          <w:shd w:val="clear" w:fill="FFFFFF"/>
        </w:rPr>
        <w:t>四、政府信息公开行政复议、行政诉讼情况</w:t>
      </w:r>
    </w:p>
    <w:tbl>
      <w:tblPr>
        <w:tblStyle w:val="3"/>
        <w:tblW w:w="9622"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60"/>
        <w:gridCol w:w="593"/>
        <w:gridCol w:w="593"/>
        <w:gridCol w:w="595"/>
        <w:gridCol w:w="907"/>
        <w:gridCol w:w="595"/>
        <w:gridCol w:w="596"/>
        <w:gridCol w:w="596"/>
        <w:gridCol w:w="596"/>
        <w:gridCol w:w="901"/>
        <w:gridCol w:w="596"/>
        <w:gridCol w:w="596"/>
        <w:gridCol w:w="596"/>
        <w:gridCol w:w="596"/>
        <w:gridCol w:w="9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blCellSpacing w:w="0" w:type="dxa"/>
          <w:jc w:val="center"/>
        </w:trPr>
        <w:tc>
          <w:tcPr>
            <w:tcW w:w="1540" w:type="pct"/>
            <w:gridSpan w:val="5"/>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行政复议</w:t>
            </w:r>
          </w:p>
        </w:tc>
        <w:tc>
          <w:tcPr>
            <w:tcW w:w="3459" w:type="pct"/>
            <w:gridSpan w:val="10"/>
            <w:tcBorders>
              <w:top w:val="single" w:color="333333" w:sz="6" w:space="0"/>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行政诉讼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jc w:val="center"/>
        </w:trPr>
        <w:tc>
          <w:tcPr>
            <w:tcW w:w="124" w:type="pct"/>
            <w:vMerge w:val="restar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结结果维持</w:t>
            </w:r>
          </w:p>
        </w:tc>
        <w:tc>
          <w:tcPr>
            <w:tcW w:w="313" w:type="pct"/>
            <w:vMerge w:val="restar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结结果纠正</w:t>
            </w:r>
          </w:p>
        </w:tc>
        <w:tc>
          <w:tcPr>
            <w:tcW w:w="313" w:type="pct"/>
            <w:vMerge w:val="restar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其其他结果</w:t>
            </w:r>
          </w:p>
        </w:tc>
        <w:tc>
          <w:tcPr>
            <w:tcW w:w="314" w:type="pct"/>
            <w:vMerge w:val="restar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尚未审结</w:t>
            </w:r>
          </w:p>
        </w:tc>
        <w:tc>
          <w:tcPr>
            <w:tcW w:w="474" w:type="pct"/>
            <w:vMerge w:val="restar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总合计</w:t>
            </w:r>
          </w:p>
        </w:tc>
        <w:tc>
          <w:tcPr>
            <w:tcW w:w="1728" w:type="pct"/>
            <w:gridSpan w:val="5"/>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未经复议直接起诉</w:t>
            </w:r>
          </w:p>
        </w:tc>
        <w:tc>
          <w:tcPr>
            <w:tcW w:w="1730" w:type="pct"/>
            <w:gridSpan w:val="5"/>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复议后起诉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85" w:hRule="atLeast"/>
          <w:tblCellSpacing w:w="0" w:type="dxa"/>
          <w:jc w:val="center"/>
        </w:trPr>
        <w:tc>
          <w:tcPr>
            <w:tcW w:w="124" w:type="pct"/>
            <w:vMerge w:val="continue"/>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313" w:type="pct"/>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313" w:type="pct"/>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314" w:type="pct"/>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474" w:type="pct"/>
            <w:vMerge w:val="continue"/>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rPr>
                <w:rFonts w:hint="eastAsia" w:ascii="宋体"/>
                <w:sz w:val="24"/>
                <w:szCs w:val="24"/>
              </w:rPr>
            </w:pP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结结果维持</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结结果纠正</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其其他结果</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尚未审结</w:t>
            </w:r>
          </w:p>
        </w:tc>
        <w:tc>
          <w:tcPr>
            <w:tcW w:w="471"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总合计</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结结果维持</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结结果纠正</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其其他结果</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尚未审结</w:t>
            </w:r>
          </w:p>
        </w:tc>
        <w:tc>
          <w:tcPr>
            <w:tcW w:w="473"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24"/>
                <w:szCs w:val="24"/>
              </w:rPr>
              <w:t>总合计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0" w:hRule="atLeast"/>
          <w:tblCellSpacing w:w="0" w:type="dxa"/>
          <w:jc w:val="center"/>
        </w:trPr>
        <w:tc>
          <w:tcPr>
            <w:tcW w:w="124" w:type="pct"/>
            <w:tcBorders>
              <w:top w:val="nil"/>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313"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313"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47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471"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314"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18"/>
                <w:szCs w:val="18"/>
              </w:rPr>
              <w:t>0</w:t>
            </w:r>
          </w:p>
        </w:tc>
        <w:tc>
          <w:tcPr>
            <w:tcW w:w="473" w:type="pct"/>
            <w:tcBorders>
              <w:top w:val="nil"/>
              <w:left w:val="nil"/>
              <w:bottom w:val="single" w:color="333333" w:sz="6" w:space="0"/>
              <w:right w:val="single" w:color="333333"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pPr>
            <w:r>
              <w:rPr>
                <w:rFonts w:hint="eastAsia" w:ascii="仿宋_GB2312" w:hAnsi="仿宋_GB2312" w:eastAsia="仿宋_GB2312" w:cs="仿宋_GB2312"/>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left="0" w:right="0" w:firstLine="615"/>
        <w:jc w:val="both"/>
      </w:pPr>
      <w:r>
        <w:rPr>
          <w:rStyle w:val="5"/>
          <w:rFonts w:hint="eastAsia" w:ascii="仿宋_GB2312" w:hAnsi="微软雅黑" w:eastAsia="仿宋_GB2312" w:cs="仿宋_GB2312"/>
          <w:i w:val="0"/>
          <w:iCs w:val="0"/>
          <w:caps w:val="0"/>
          <w:color w:val="333333"/>
          <w:spacing w:val="0"/>
          <w:sz w:val="31"/>
          <w:szCs w:val="31"/>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left="0" w:right="0" w:firstLine="645"/>
        <w:jc w:val="both"/>
      </w:pPr>
      <w:r>
        <w:rPr>
          <w:rFonts w:hint="eastAsia" w:ascii="仿宋_GB2312" w:hAnsi="微软雅黑" w:eastAsia="仿宋_GB2312" w:cs="仿宋_GB2312"/>
          <w:i w:val="0"/>
          <w:iCs w:val="0"/>
          <w:caps w:val="0"/>
          <w:color w:val="333333"/>
          <w:spacing w:val="0"/>
          <w:sz w:val="31"/>
          <w:szCs w:val="31"/>
          <w:shd w:val="clear" w:fill="FFFFFF"/>
        </w:rPr>
        <w:t>（一）存在的问题。</w:t>
      </w:r>
      <w:r>
        <w:rPr>
          <w:rFonts w:hint="eastAsia" w:ascii="仿宋_GB2312" w:hAnsi="仿宋_GB2312" w:eastAsia="仿宋_GB2312" w:cs="仿宋_GB2312"/>
          <w:i w:val="0"/>
          <w:iCs w:val="0"/>
          <w:caps w:val="0"/>
          <w:color w:val="333333"/>
          <w:spacing w:val="0"/>
          <w:sz w:val="31"/>
          <w:szCs w:val="31"/>
          <w:shd w:val="clear" w:fill="FFFFFF"/>
        </w:rPr>
        <w:t>2021</w:t>
      </w:r>
      <w:r>
        <w:rPr>
          <w:rFonts w:hint="eastAsia" w:ascii="仿宋_GB2312" w:hAnsi="微软雅黑" w:eastAsia="仿宋_GB2312" w:cs="仿宋_GB2312"/>
          <w:i w:val="0"/>
          <w:iCs w:val="0"/>
          <w:caps w:val="0"/>
          <w:color w:val="333333"/>
          <w:spacing w:val="0"/>
          <w:sz w:val="31"/>
          <w:szCs w:val="31"/>
          <w:shd w:val="clear" w:fill="FFFFFF"/>
        </w:rPr>
        <w:t>年，我镇政府信息公开工作在上级主管部门的正确指导下，做了大量细致扎实工作，但标准还不够高，内容还不够全面，信息更新还需要更及时，公开形式的便民性在今后的工作中需要进一步提高。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left="0" w:right="0" w:firstLine="645"/>
        <w:jc w:val="both"/>
      </w:pPr>
      <w:r>
        <w:rPr>
          <w:rFonts w:hint="eastAsia" w:ascii="仿宋_GB2312" w:hAnsi="微软雅黑" w:eastAsia="仿宋_GB2312" w:cs="仿宋_GB2312"/>
          <w:i w:val="0"/>
          <w:iCs w:val="0"/>
          <w:caps w:val="0"/>
          <w:color w:val="333333"/>
          <w:spacing w:val="0"/>
          <w:sz w:val="31"/>
          <w:szCs w:val="31"/>
          <w:shd w:val="clear" w:fill="FFFFFF"/>
        </w:rPr>
        <w:t>（二）具体的解决办法和改进措施。一是加强组织领导，进一步明确工作机构的职责和任务。进一步完善工作机制，明确政府信息公开工作机构职责和任务，形成职责分明、分工合理、各负其责、齐抓共管的工作局面。层层落实责任，明确专人负责政府信息公开的组织协调、维护更新等工作，确保我镇政府信息公开工作扎实、有序推进。二是加大宣传力度，塑造良好的政府信息公开工作氛围。贯彻落实中央、国家和市、县关于政府信息公开工作的要求，广泛开展系列政府信息公开工作宣传活动，倡导积极、全面、合法、透明的政府信息，为公众提供及时、准确、实用的信息。三是紧紧围绕中心工作，公开公众普遍关注的热点难点问题。以党和政府中心工作为主轴，以公众关心的热点、难点问题为导向，全面、及时地公开政府信息，确保政府信息公开工作的针对性和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left="0" w:right="0" w:firstLine="645"/>
        <w:jc w:val="both"/>
      </w:pPr>
      <w:r>
        <w:rPr>
          <w:rStyle w:val="5"/>
          <w:rFonts w:hint="eastAsia" w:ascii="仿宋_GB2312" w:hAnsi="微软雅黑" w:eastAsia="仿宋_GB2312" w:cs="仿宋_GB2312"/>
          <w:i w:val="0"/>
          <w:iCs w:val="0"/>
          <w:caps w:val="0"/>
          <w:color w:val="333333"/>
          <w:spacing w:val="0"/>
          <w:sz w:val="31"/>
          <w:szCs w:val="31"/>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76" w:afterAutospacing="0" w:line="450" w:lineRule="atLeast"/>
        <w:ind w:left="0" w:right="0" w:firstLine="645"/>
        <w:jc w:val="both"/>
      </w:pPr>
      <w:r>
        <w:rPr>
          <w:rFonts w:hint="eastAsia" w:ascii="仿宋_GB2312" w:hAnsi="微软雅黑" w:eastAsia="仿宋_GB2312" w:cs="仿宋_GB2312"/>
          <w:i w:val="0"/>
          <w:iCs w:val="0"/>
          <w:caps w:val="0"/>
          <w:color w:val="333333"/>
          <w:spacing w:val="0"/>
          <w:sz w:val="31"/>
          <w:szCs w:val="31"/>
          <w:shd w:val="clear" w:fill="FFFFFF"/>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xMThjOTkyZTdiN2QxNTVhNDc2YTkzMjk5ZmQ5YTgifQ=="/>
  </w:docVars>
  <w:rsids>
    <w:rsidRoot w:val="00000000"/>
    <w:rsid w:val="0475016D"/>
    <w:rsid w:val="06007F0A"/>
    <w:rsid w:val="082A5C43"/>
    <w:rsid w:val="11EA1A5C"/>
    <w:rsid w:val="19B27315"/>
    <w:rsid w:val="1AF06448"/>
    <w:rsid w:val="26F96584"/>
    <w:rsid w:val="28CA01D8"/>
    <w:rsid w:val="2B395AE8"/>
    <w:rsid w:val="2B78337E"/>
    <w:rsid w:val="2C620D1D"/>
    <w:rsid w:val="31E0281A"/>
    <w:rsid w:val="35C44201"/>
    <w:rsid w:val="36E52680"/>
    <w:rsid w:val="3AE34442"/>
    <w:rsid w:val="3B595D86"/>
    <w:rsid w:val="4496320C"/>
    <w:rsid w:val="464E3D9E"/>
    <w:rsid w:val="46D1677D"/>
    <w:rsid w:val="49311755"/>
    <w:rsid w:val="4B06733D"/>
    <w:rsid w:val="4B1B12D4"/>
    <w:rsid w:val="4DA85412"/>
    <w:rsid w:val="5302488E"/>
    <w:rsid w:val="57DE0CFA"/>
    <w:rsid w:val="5E761C8C"/>
    <w:rsid w:val="5F265461"/>
    <w:rsid w:val="625B3673"/>
    <w:rsid w:val="63620A31"/>
    <w:rsid w:val="6E162B44"/>
    <w:rsid w:val="6E9B1EEF"/>
    <w:rsid w:val="703379DD"/>
    <w:rsid w:val="71593474"/>
    <w:rsid w:val="73816CB2"/>
    <w:rsid w:val="7B5F5B2A"/>
    <w:rsid w:val="7BD97745"/>
    <w:rsid w:val="7BEB1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2744</Words>
  <Characters>2864</Characters>
  <Lines>0</Lines>
  <Paragraphs>0</Paragraphs>
  <TotalTime>4</TotalTime>
  <ScaleCrop>false</ScaleCrop>
  <LinksUpToDate>false</LinksUpToDate>
  <CharactersWithSpaces>2886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2022-01-11T02:18:00Z</dcterms:created>
  <dc:creator>Administrator</dc:creator>
  <cp:lastModifiedBy>Administrator</cp:lastModifiedBy>
  <dcterms:modified xsi:type="dcterms:W3CDTF">2022-06-20T08:37:29Z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F505CBD830D449CD8D95BB7A483172D5</vt:lpwstr>
  </property>
</Properties>
</file>