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kern w:val="2"/>
          <w:sz w:val="44"/>
          <w:szCs w:val="44"/>
          <w:lang w:val="en-US" w:eastAsia="zh-CN" w:bidi="ar-SA"/>
        </w:rPr>
      </w:pP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白土镇2021年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0" w:firstLineChars="200"/>
        <w:textAlignment w:val="auto"/>
        <w:rPr>
          <w:rFonts w:hint="eastAsia" w:ascii="仿宋" w:hAnsi="仿宋" w:eastAsia="仿宋" w:cs="仿宋"/>
          <w:sz w:val="32"/>
          <w:szCs w:val="32"/>
          <w:shd w:val="clear" w:color="auto" w:fill="FFFFFF"/>
        </w:rPr>
      </w:pPr>
      <w:r>
        <w:rPr>
          <w:rStyle w:val="8"/>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白土镇党政办编制，本年度报告中所列数据统计期限自2021年1月1日至2021年12月31日止，并通过丰城市人民政府门户网站中“政府信息公开年报”栏目（网址:http://www.jxfc.gov.cn/xxgk-list-baituzhen.html）等平台向社会主动公开，如对本年报有疑问，请与丰城市白土镇党政办联系（地址：地址：江西省丰城市白土镇孺子大道1号；电话：0795-6852008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FFFFFF"/>
        </w:rPr>
      </w:pPr>
      <w:r>
        <w:rPr>
          <w:rStyle w:val="8"/>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白土镇强化组织建设，完善工作机制，拓宽信息公开渠道，加大重点领域信息公开，妥善处理依申请公开，加强政策解读及回应关切力度，不断创新政府信息公开形式、扩大公开范围、细化公开内容，进一步提升政府工作透明度，切实满足社会公众获取和利用政府信息的需求，持续推动打造法治政府、创新政府、廉洁政府和服务型政府，促进经济社会健康发展。</w:t>
      </w:r>
    </w:p>
    <w:p>
      <w:pPr>
        <w:keepNext w:val="0"/>
        <w:keepLines w:val="0"/>
        <w:pageBreakBefore w:val="0"/>
        <w:widowControl w:val="0"/>
        <w:kinsoku/>
        <w:wordWrap/>
        <w:overflowPunct/>
        <w:topLinePunct w:val="0"/>
        <w:autoSpaceDE/>
        <w:autoSpaceDN/>
        <w:bidi w:val="0"/>
        <w:adjustRightInd/>
        <w:snapToGrid/>
        <w:spacing w:before="0" w:beforeAutospacing="0" w:afterAutospacing="0" w:line="600" w:lineRule="exact"/>
        <w:ind w:left="0" w:leftChars="0" w:firstLine="640" w:firstLineChars="200"/>
        <w:jc w:val="both"/>
        <w:textAlignment w:val="baseline"/>
        <w:rPr>
          <w:rFonts w:hint="eastAsia" w:ascii="楷体_GB2312" w:hAnsi="楷体_GB2312" w:eastAsia="楷体_GB2312" w:cs="楷体_GB2312"/>
          <w:b w:val="0"/>
          <w:bCs w:val="0"/>
          <w:i w:val="0"/>
          <w:caps w:val="0"/>
          <w:color w:val="000000"/>
          <w:spacing w:val="0"/>
          <w:w w:val="10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w w:val="100"/>
          <w:sz w:val="32"/>
          <w:szCs w:val="32"/>
          <w:shd w:val="clear" w:color="auto" w:fill="FFFFFF"/>
        </w:rPr>
        <w:t>（一）主动公开情况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白土镇人民政府2021年在政府网站政务信息公开总计112条，其中包括工作动态92条、公开指南1条、机构概况1条、法规文件12条、规划计划1条、人事信息2条、财政信息2条、政府信息公开年报1条、申请公开0条。</w:t>
      </w:r>
    </w:p>
    <w:p>
      <w:pPr>
        <w:keepNext w:val="0"/>
        <w:keepLines w:val="0"/>
        <w:pageBreakBefore w:val="0"/>
        <w:widowControl w:val="0"/>
        <w:kinsoku/>
        <w:wordWrap/>
        <w:overflowPunct/>
        <w:topLinePunct w:val="0"/>
        <w:autoSpaceDE/>
        <w:autoSpaceDN/>
        <w:bidi w:val="0"/>
        <w:adjustRightInd/>
        <w:snapToGrid/>
        <w:spacing w:before="0" w:beforeAutospacing="0" w:afterAutospacing="0" w:line="600" w:lineRule="exact"/>
        <w:ind w:left="0" w:leftChars="0" w:firstLine="640" w:firstLineChars="200"/>
        <w:jc w:val="both"/>
        <w:textAlignment w:val="baseline"/>
        <w:rPr>
          <w:rFonts w:hint="eastAsia" w:ascii="楷体_GB2312" w:hAnsi="楷体_GB2312" w:eastAsia="楷体_GB2312" w:cs="楷体_GB2312"/>
          <w:b w:val="0"/>
          <w:bCs w:val="0"/>
          <w:i w:val="0"/>
          <w:caps w:val="0"/>
          <w:color w:val="000000"/>
          <w:spacing w:val="0"/>
          <w:w w:val="100"/>
          <w:sz w:val="32"/>
          <w:szCs w:val="32"/>
          <w:shd w:val="clear" w:color="auto" w:fill="FFFFFF"/>
        </w:rPr>
      </w:pPr>
      <w:r>
        <w:rPr>
          <w:rFonts w:hint="eastAsia" w:ascii="楷体_GB2312" w:hAnsi="楷体_GB2312" w:eastAsia="楷体_GB2312" w:cs="楷体_GB2312"/>
          <w:b w:val="0"/>
          <w:bCs w:val="0"/>
          <w:i w:val="0"/>
          <w:caps w:val="0"/>
          <w:color w:val="000000"/>
          <w:spacing w:val="0"/>
          <w:w w:val="100"/>
          <w:sz w:val="32"/>
          <w:szCs w:val="32"/>
          <w:shd w:val="clear" w:color="auto" w:fill="FFFFFF"/>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2021年白土镇人民政府共受理依申请公开0件。</w:t>
      </w:r>
    </w:p>
    <w:p>
      <w:pPr>
        <w:keepNext w:val="0"/>
        <w:keepLines w:val="0"/>
        <w:pageBreakBefore w:val="0"/>
        <w:widowControl w:val="0"/>
        <w:kinsoku/>
        <w:wordWrap/>
        <w:overflowPunct/>
        <w:topLinePunct w:val="0"/>
        <w:autoSpaceDE/>
        <w:autoSpaceDN/>
        <w:bidi w:val="0"/>
        <w:adjustRightInd/>
        <w:snapToGrid/>
        <w:spacing w:before="0" w:beforeAutospacing="0" w:afterAutospacing="0" w:line="600" w:lineRule="exact"/>
        <w:ind w:left="0" w:leftChars="0" w:firstLine="640" w:firstLineChars="200"/>
        <w:jc w:val="both"/>
        <w:textAlignment w:val="baseline"/>
        <w:rPr>
          <w:rFonts w:hint="eastAsia" w:ascii="楷体_GB2312" w:hAnsi="楷体_GB2312" w:eastAsia="楷体_GB2312" w:cs="楷体_GB2312"/>
          <w:b w:val="0"/>
          <w:bCs w:val="0"/>
          <w:i w:val="0"/>
          <w:caps w:val="0"/>
          <w:color w:val="000000"/>
          <w:spacing w:val="0"/>
          <w:w w:val="100"/>
          <w:sz w:val="32"/>
          <w:szCs w:val="32"/>
          <w:shd w:val="clear" w:color="auto" w:fill="FFFFFF"/>
        </w:rPr>
      </w:pPr>
      <w:r>
        <w:rPr>
          <w:rFonts w:hint="eastAsia" w:ascii="楷体_GB2312" w:hAnsi="楷体_GB2312" w:eastAsia="楷体_GB2312" w:cs="楷体_GB2312"/>
          <w:b w:val="0"/>
          <w:bCs w:val="0"/>
          <w:i w:val="0"/>
          <w:caps w:val="0"/>
          <w:color w:val="000000"/>
          <w:spacing w:val="0"/>
          <w:w w:val="100"/>
          <w:sz w:val="32"/>
          <w:szCs w:val="32"/>
          <w:shd w:val="clear" w:color="auto" w:fill="FFFFFF"/>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_GB2312" w:hAnsi="仿宋_GB2312" w:eastAsia="仿宋_GB2312" w:cs="仿宋_GB2312"/>
          <w:b/>
          <w:bCs/>
          <w:i w:val="0"/>
          <w:caps w:val="0"/>
          <w:spacing w:val="0"/>
          <w:w w:val="100"/>
          <w:kern w:val="2"/>
          <w:sz w:val="32"/>
          <w:szCs w:val="32"/>
          <w:lang w:val="en-US" w:eastAsia="zh-CN" w:bidi="ar-SA"/>
        </w:rPr>
        <w:t>一是加强组织领导。</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白土镇政府高度重视政务公开工作，目前已形成由镇党委统一领导，下设办公室白土镇党政办负责督促落实关于政务公开的一系列部署。由分管领导牵头、办公室负责日常事务、各部门密切配合、专人负责的工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_GB2312" w:hAnsi="仿宋_GB2312" w:eastAsia="仿宋_GB2312" w:cs="仿宋_GB2312"/>
          <w:b/>
          <w:bCs/>
          <w:i w:val="0"/>
          <w:caps w:val="0"/>
          <w:spacing w:val="0"/>
          <w:w w:val="100"/>
          <w:kern w:val="2"/>
          <w:sz w:val="32"/>
          <w:szCs w:val="32"/>
          <w:lang w:val="en-US" w:eastAsia="zh-CN" w:bidi="ar-SA"/>
        </w:rPr>
        <w:t>二是明确政务公开流程。</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首先由各部门具体指派专人负责公开信息的填报，信息填报后由部门负责人对拟公开的信息进行初审，通过初审并报经分管领导复审后，提交办公室复核后在政府信息公开网站发布。信息公开申请受理答复各环节制度规范，对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val="0"/>
        <w:kinsoku/>
        <w:wordWrap/>
        <w:overflowPunct/>
        <w:topLinePunct w:val="0"/>
        <w:autoSpaceDE/>
        <w:autoSpaceDN/>
        <w:bidi w:val="0"/>
        <w:adjustRightInd/>
        <w:snapToGrid/>
        <w:spacing w:before="0" w:beforeAutospacing="0" w:afterAutospacing="0" w:line="600" w:lineRule="exact"/>
        <w:ind w:left="0" w:leftChars="0" w:firstLine="640" w:firstLineChars="200"/>
        <w:jc w:val="both"/>
        <w:textAlignment w:val="baseline"/>
        <w:rPr>
          <w:rFonts w:hint="eastAsia" w:ascii="楷体_GB2312" w:hAnsi="楷体_GB2312" w:eastAsia="楷体_GB2312" w:cs="楷体_GB2312"/>
          <w:b w:val="0"/>
          <w:bCs w:val="0"/>
          <w:i w:val="0"/>
          <w:caps w:val="0"/>
          <w:color w:val="000000"/>
          <w:spacing w:val="0"/>
          <w:w w:val="10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w w:val="100"/>
          <w:sz w:val="32"/>
          <w:szCs w:val="32"/>
          <w:shd w:val="clear" w:color="auto" w:fill="FFFFFF"/>
          <w:lang w:val="en-US" w:eastAsia="zh-CN"/>
        </w:rPr>
        <w:t>（四）政务信息公开平台建设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我镇加强对政务公开平台建设工作的重视，一是做好线上平台建设。完善以丰城市人民政府网站为载体的政务公开信息平台建设，全镇各部门协同配合，积极完善做好政务公开平台信息的补充，确保日常政务公开工作的有序推进。二是完善线下公开途径。围绕本镇全年重点工作，以及关系群众切身利益和群众关心的工作设立公开公告专栏，在</w:t>
      </w: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便民服务中心设置专栏，及时张贴公开群众关心的信息，更好地方便公众查询政府信息。</w:t>
      </w:r>
    </w:p>
    <w:p>
      <w:pPr>
        <w:keepNext w:val="0"/>
        <w:keepLines w:val="0"/>
        <w:pageBreakBefore w:val="0"/>
        <w:widowControl w:val="0"/>
        <w:kinsoku/>
        <w:wordWrap/>
        <w:overflowPunct/>
        <w:topLinePunct w:val="0"/>
        <w:autoSpaceDE/>
        <w:autoSpaceDN/>
        <w:bidi w:val="0"/>
        <w:adjustRightInd/>
        <w:snapToGrid/>
        <w:spacing w:before="0" w:beforeAutospacing="0" w:afterAutospacing="0" w:line="600" w:lineRule="exact"/>
        <w:ind w:left="0" w:leftChars="0" w:firstLine="640" w:firstLineChars="200"/>
        <w:jc w:val="both"/>
        <w:textAlignment w:val="baseline"/>
        <w:rPr>
          <w:rFonts w:hint="eastAsia" w:ascii="楷体_GB2312" w:hAnsi="楷体_GB2312" w:eastAsia="楷体_GB2312" w:cs="楷体_GB2312"/>
          <w:b w:val="0"/>
          <w:bCs w:val="0"/>
          <w:i w:val="0"/>
          <w:caps w:val="0"/>
          <w:color w:val="000000"/>
          <w:spacing w:val="0"/>
          <w:w w:val="10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w w:val="100"/>
          <w:sz w:val="32"/>
          <w:szCs w:val="32"/>
          <w:shd w:val="clear" w:color="auto" w:fill="FFFFFF"/>
          <w:lang w:val="en-US" w:eastAsia="zh-CN"/>
        </w:rPr>
        <w:t>（五）监督保障情况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建立政府信息公开指南和公开目录更新完善机制，年内对本行政机关的公开指南进行复查，内容缺失或更新不及时的，及时完善相关内容。加强信息公开保密审查制度建设，对拟公开的政府信息，依法依规做好保密审查；涉及其他行政机关的，与有关行政机关沟通确认，确保公开的政府信息准确一致，避免出现不实信息。建立健全政府信息公开工作考核评议制度，强化问责制度，了解社情民意，不断改进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2021年，白土镇政务公开工作主动接受各单位和群众的社会监督、社会评议，评议总体结果优秀，满意度达100%。2021年全年我镇未发生政务公开责任追究情况。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8"/>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textAlignment w:val="auto"/>
        <w:rPr>
          <w:rStyle w:val="8"/>
          <w:rFonts w:hint="eastAsia" w:ascii="仿宋" w:hAnsi="仿宋" w:eastAsia="仿宋" w:cs="仿宋"/>
          <w:b w:val="0"/>
          <w:bCs/>
          <w:i w:val="0"/>
          <w:iCs w:val="0"/>
          <w:caps w:val="0"/>
          <w:color w:val="000000" w:themeColor="text1"/>
          <w:spacing w:val="0"/>
          <w:sz w:val="32"/>
          <w:szCs w:val="32"/>
          <w:shd w:val="clear" w:fill="FFFFFF"/>
          <w:lang w:eastAsia="zh-CN"/>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8"/>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8"/>
          <w:rFonts w:hint="eastAsia" w:ascii="仿宋" w:hAnsi="仿宋" w:eastAsia="仿宋" w:cs="仿宋"/>
          <w:b w:val="0"/>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8"/>
          <w:rFonts w:hint="eastAsia" w:ascii="仿宋" w:hAnsi="仿宋" w:eastAsia="仿宋" w:cs="仿宋"/>
          <w:b w:val="0"/>
          <w:bCs/>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40" w:leftChars="0" w:right="0" w:firstLine="0" w:firstLineChars="0"/>
        <w:textAlignment w:val="auto"/>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pPr>
      <w:r>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政府信息公开行政复议、行政诉讼情况</w:t>
      </w:r>
    </w:p>
    <w:tbl>
      <w:tblPr>
        <w:tblStyle w:val="6"/>
        <w:tblpPr w:leftFromText="180" w:rightFromText="180" w:vertAnchor="text" w:horzAnchor="page" w:tblpX="2055" w:tblpY="36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b w:val="0"/>
          <w:bCs/>
          <w:i w:val="0"/>
          <w:iCs w:val="0"/>
          <w:caps w:val="0"/>
          <w:color w:val="000000" w:themeColor="text1"/>
          <w:spacing w:val="0"/>
          <w:sz w:val="32"/>
          <w:szCs w:val="32"/>
          <w14:textFill>
            <w14:solidFill>
              <w14:schemeClr w14:val="tx1"/>
            </w14:solidFill>
          </w14:textFill>
        </w:rPr>
      </w:pPr>
      <w:r>
        <w:rPr>
          <w:rStyle w:val="8"/>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 xml:space="preserve">2021年白土镇在政府信息公开工作方面取得了新的进步，但仍然存在着以下三个方面不足。一是在紧贴群众需求方面还有不足，主动公开的政府信息与公众的需求还存在偏差，对事关群众切身利益的信息公开、解读还不到位。二是在信息公开时效性方面还不够及时，对于一些重点工程项目、活动的进度公开略有滞后，群众不能及时了解到家乡的发展进步。三是信息公开形式还不够丰富。政府信息公开形式比较单一，主要是通过网站、公告栏等形式公开，运用新媒体公开信息的比重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在今后的工作中，白土镇将进一步紧贴群</w:t>
      </w:r>
      <w:bookmarkStart w:id="0" w:name="_GoBack"/>
      <w:bookmarkEnd w:id="0"/>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 xml:space="preserve">众需求，狠抓公开时效性，丰富政府信息公开形式。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Style w:val="8"/>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kern w:val="2"/>
          <w:sz w:val="32"/>
          <w:szCs w:val="32"/>
          <w:shd w:val="clear" w:fill="FFFFFF"/>
          <w:lang w:val="en-US" w:eastAsia="zh-CN" w:bidi="ar-SA"/>
          <w14:textFill>
            <w14:solidFill>
              <w14:schemeClr w14:val="tx1"/>
            </w14:solidFill>
          </w14:textFill>
        </w:rPr>
        <w:t>　六、其他需要报告的事项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0"/>
          <w:szCs w:val="30"/>
          <w:shd w:val="clear" w:fill="FFFFFF"/>
          <w:lang w:val="en-US" w:eastAsia="zh-CN" w:bidi="ar-SA"/>
          <w14:textFill>
            <w14:solidFill>
              <w14:schemeClr w14:val="tx1"/>
            </w14:solidFill>
          </w14:textFill>
        </w:rPr>
        <w:t>2021年度白土镇无其他需要报告的事项。</w:t>
      </w:r>
    </w:p>
    <w:p>
      <w:pPr>
        <w:pStyle w:val="9"/>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kern w:val="0"/>
          <w:sz w:val="32"/>
          <w:szCs w:val="32"/>
          <w:shd w:val="clear" w:color="auto" w:fill="FFFFFF"/>
          <w:lang w:val="en-US" w:eastAsia="zh-CN" w:bidi="ar-SA"/>
        </w:rPr>
      </w:pPr>
    </w:p>
    <w:p>
      <w:pPr>
        <w:pStyle w:val="9"/>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kern w:val="0"/>
          <w:sz w:val="32"/>
          <w:szCs w:val="32"/>
          <w:shd w:val="clear" w:color="auto" w:fill="FFFFFF"/>
          <w:lang w:val="en-US" w:eastAsia="zh-CN" w:bidi="ar-SA"/>
        </w:rPr>
      </w:pPr>
      <w:r>
        <w:rPr>
          <w:rFonts w:hint="eastAsia" w:ascii="仿宋" w:hAnsi="仿宋" w:eastAsia="仿宋" w:cs="仿宋"/>
          <w:kern w:val="0"/>
          <w:sz w:val="32"/>
          <w:szCs w:val="32"/>
          <w:shd w:val="clear" w:color="auto" w:fill="FFFFFF"/>
          <w:lang w:val="en-US" w:eastAsia="zh-CN" w:bidi="ar-SA"/>
        </w:rPr>
        <w:t>白土镇人民政府</w:t>
      </w:r>
    </w:p>
    <w:p>
      <w:pPr>
        <w:pStyle w:val="9"/>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 w:hAnsi="仿宋" w:eastAsia="仿宋" w:cs="仿宋"/>
          <w:sz w:val="32"/>
          <w:szCs w:val="32"/>
        </w:rPr>
      </w:pPr>
      <w:r>
        <w:rPr>
          <w:rFonts w:hint="eastAsia" w:ascii="仿宋" w:hAnsi="仿宋" w:eastAsia="仿宋" w:cs="仿宋"/>
          <w:kern w:val="0"/>
          <w:sz w:val="32"/>
          <w:szCs w:val="32"/>
          <w:shd w:val="clear" w:color="auto" w:fill="FFFFFF"/>
          <w:lang w:val="en-US" w:eastAsia="zh-CN" w:bidi="ar-SA"/>
        </w:rPr>
        <w:t>2022年1月14日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DEFD1"/>
    <w:multiLevelType w:val="singleLevel"/>
    <w:tmpl w:val="341DEFD1"/>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24EB0"/>
    <w:rsid w:val="0E584D86"/>
    <w:rsid w:val="16EF0525"/>
    <w:rsid w:val="1DF03389"/>
    <w:rsid w:val="1F761C37"/>
    <w:rsid w:val="20E83BDD"/>
    <w:rsid w:val="2E211DFC"/>
    <w:rsid w:val="34F91129"/>
    <w:rsid w:val="485860F7"/>
    <w:rsid w:val="4AD133AE"/>
    <w:rsid w:val="4E787A3E"/>
    <w:rsid w:val="5774614B"/>
    <w:rsid w:val="59605C74"/>
    <w:rsid w:val="5A673124"/>
    <w:rsid w:val="66FC2460"/>
    <w:rsid w:val="6797516B"/>
    <w:rsid w:val="6F3574FF"/>
    <w:rsid w:val="76426BFD"/>
    <w:rsid w:val="7CE6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1"/>
    <w:qFormat/>
    <w:uiPriority w:val="0"/>
    <w:pPr>
      <w:ind w:left="420" w:leftChars="200" w:firstLine="210"/>
    </w:pPr>
    <w:rPr>
      <w:rFonts w:ascii="Calibri" w:hAnsi="Calibri" w:cs="Calibri"/>
      <w:szCs w:val="21"/>
    </w:rPr>
  </w:style>
  <w:style w:type="paragraph" w:styleId="3">
    <w:name w:val="Body Text"/>
    <w:basedOn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BodyText1I2"/>
    <w:basedOn w:val="1"/>
    <w:qFormat/>
    <w:uiPriority w:val="0"/>
    <w:pPr>
      <w:spacing w:line="240" w:lineRule="auto"/>
      <w:ind w:left="420" w:leftChars="200" w:firstLine="21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你说后来</cp:lastModifiedBy>
  <cp:lastPrinted>2022-01-14T10:15:00Z</cp:lastPrinted>
  <dcterms:modified xsi:type="dcterms:W3CDTF">2022-01-20T09:57:59Z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5EE7A8C9EC8948069C4799B4CC52B958</vt:lpwstr>
  </property>
</Properties>
</file>