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Style w:val="6"/>
          <w:rFonts w:hint="eastAsia" w:ascii="方正小标宋简体" w:hAnsi="方正小标宋简体" w:eastAsia="方正小标宋简体" w:cs="方正小标宋简体"/>
          <w:b w:val="0"/>
          <w:bCs/>
          <w:i w:val="0"/>
          <w:iCs w:val="0"/>
          <w:caps w:val="0"/>
          <w:color w:val="000000" w:themeColor="text1"/>
          <w:spacing w:val="0"/>
          <w:sz w:val="44"/>
          <w:szCs w:val="44"/>
          <w:shd w:val="clear" w:fill="FFFFFF"/>
          <w14:textFill>
            <w14:solidFill>
              <w14:schemeClr w14:val="tx1"/>
            </w14:solidFill>
          </w14:textFill>
        </w:rPr>
      </w:pPr>
      <w:r>
        <w:rPr>
          <w:rStyle w:val="6"/>
          <w:rFonts w:hint="eastAsia" w:ascii="方正小标宋简体" w:hAnsi="方正小标宋简体" w:eastAsia="方正小标宋简体" w:cs="方正小标宋简体"/>
          <w:b w:val="0"/>
          <w:bCs/>
          <w:i w:val="0"/>
          <w:iCs w:val="0"/>
          <w:caps w:val="0"/>
          <w:color w:val="000000" w:themeColor="text1"/>
          <w:spacing w:val="0"/>
          <w:sz w:val="44"/>
          <w:szCs w:val="44"/>
          <w:shd w:val="clear" w:fill="FFFFFF"/>
          <w:lang w:eastAsia="zh-CN"/>
          <w14:textFill>
            <w14:solidFill>
              <w14:schemeClr w14:val="tx1"/>
            </w14:solidFill>
          </w14:textFill>
        </w:rPr>
        <w:t>筱塘乡</w:t>
      </w:r>
      <w:r>
        <w:rPr>
          <w:rStyle w:val="6"/>
          <w:rFonts w:hint="eastAsia" w:ascii="方正小标宋简体" w:hAnsi="方正小标宋简体" w:eastAsia="方正小标宋简体" w:cs="方正小标宋简体"/>
          <w:b w:val="0"/>
          <w:bCs/>
          <w:i w:val="0"/>
          <w:iCs w:val="0"/>
          <w:caps w:val="0"/>
          <w:color w:val="000000" w:themeColor="text1"/>
          <w:spacing w:val="0"/>
          <w:sz w:val="44"/>
          <w:szCs w:val="44"/>
          <w:shd w:val="clear" w:fill="FFFFFF"/>
          <w14:textFill>
            <w14:solidFill>
              <w14:schemeClr w14:val="tx1"/>
            </w14:solidFill>
          </w14:textFill>
        </w:rPr>
        <w:t>2021年政府信息公开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Style w:val="6"/>
          <w:rFonts w:hint="eastAsia" w:ascii="方正小标宋简体" w:hAnsi="方正小标宋简体" w:eastAsia="方正小标宋简体" w:cs="方正小标宋简体"/>
          <w:b w:val="0"/>
          <w:bCs/>
          <w:i w:val="0"/>
          <w:iCs w:val="0"/>
          <w:caps w:val="0"/>
          <w:color w:val="000000" w:themeColor="text1"/>
          <w:spacing w:val="0"/>
          <w:sz w:val="44"/>
          <w:szCs w:val="44"/>
          <w:shd w:val="clear" w:fill="FFFFFF"/>
          <w14:textFill>
            <w14:solidFill>
              <w14:schemeClr w14:val="tx1"/>
            </w14:solidFill>
          </w14:textFill>
        </w:rPr>
      </w:pPr>
      <w:r>
        <w:rPr>
          <w:rStyle w:val="6"/>
          <w:rFonts w:hint="eastAsia" w:ascii="方正小标宋简体" w:hAnsi="方正小标宋简体" w:eastAsia="方正小标宋简体" w:cs="方正小标宋简体"/>
          <w:b w:val="0"/>
          <w:bCs/>
          <w:i w:val="0"/>
          <w:iCs w:val="0"/>
          <w:caps w:val="0"/>
          <w:color w:val="000000" w:themeColor="text1"/>
          <w:spacing w:val="0"/>
          <w:sz w:val="44"/>
          <w:szCs w:val="44"/>
          <w:shd w:val="clear" w:fill="FFFFFF"/>
          <w14:textFill>
            <w14:solidFill>
              <w14:schemeClr w14:val="tx1"/>
            </w14:solidFill>
          </w14:textFill>
        </w:rPr>
        <w:t>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Style w:val="6"/>
          <w:rFonts w:hint="eastAsia" w:ascii="方正小标宋简体" w:hAnsi="方正小标宋简体" w:eastAsia="方正小标宋简体" w:cs="方正小标宋简体"/>
          <w:b w:val="0"/>
          <w:bCs/>
          <w:i w:val="0"/>
          <w:iCs w:val="0"/>
          <w:caps w:val="0"/>
          <w:color w:val="000000" w:themeColor="text1"/>
          <w:spacing w:val="0"/>
          <w:sz w:val="44"/>
          <w:szCs w:val="44"/>
          <w:shd w:val="clear" w:fill="FFFFFF"/>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黑体_GBK" w:hAnsi="方正黑体_GBK" w:eastAsia="方正黑体_GBK" w:cs="方正黑体_GBK"/>
          <w:b w:val="0"/>
          <w:bCs/>
          <w:i w:val="0"/>
          <w:iCs w:val="0"/>
          <w:caps w:val="0"/>
          <w:color w:val="000000" w:themeColor="text1"/>
          <w:spacing w:val="0"/>
          <w:sz w:val="32"/>
          <w:szCs w:val="32"/>
          <w14:textFill>
            <w14:solidFill>
              <w14:schemeClr w14:val="tx1"/>
            </w14:solidFill>
          </w14:textFill>
        </w:rPr>
      </w:pPr>
      <w:r>
        <w:rPr>
          <w:rStyle w:val="6"/>
          <w:rFonts w:hint="eastAsia" w:ascii="方正黑体_GBK" w:hAnsi="方正黑体_GBK" w:eastAsia="方正黑体_GBK" w:cs="方正黑体_GBK"/>
          <w:b w:val="0"/>
          <w:bCs/>
          <w:i w:val="0"/>
          <w:iCs w:val="0"/>
          <w:caps w:val="0"/>
          <w:color w:val="000000" w:themeColor="text1"/>
          <w:spacing w:val="0"/>
          <w:sz w:val="32"/>
          <w:szCs w:val="32"/>
          <w:shd w:val="clear" w:fill="FFFFFF"/>
          <w14:textFill>
            <w14:solidFill>
              <w14:schemeClr w14:val="tx1"/>
            </w14:solidFill>
          </w14:textFill>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方正仿宋_GB2312" w:hAnsi="方正仿宋_GB2312" w:eastAsia="方正仿宋_GB2312" w:cs="方正仿宋_GB2312"/>
          <w:sz w:val="32"/>
          <w:szCs w:val="32"/>
        </w:rPr>
      </w:pPr>
      <w:r>
        <w:rPr>
          <w:rStyle w:val="6"/>
          <w:rFonts w:hint="eastAsia" w:ascii="微软雅黑" w:hAnsi="微软雅黑" w:eastAsia="微软雅黑" w:cs="微软雅黑"/>
          <w:i w:val="0"/>
          <w:iCs w:val="0"/>
          <w:caps w:val="0"/>
          <w:color w:val="000000" w:themeColor="text1"/>
          <w:spacing w:val="0"/>
          <w:sz w:val="22"/>
          <w:szCs w:val="22"/>
          <w:shd w:val="clear" w:fill="FFFFFF"/>
          <w:lang w:val="en-US" w:eastAsia="zh-CN"/>
          <w14:textFill>
            <w14:solidFill>
              <w14:schemeClr w14:val="tx1"/>
            </w14:solidFill>
          </w14:textFill>
        </w:rPr>
        <w:t xml:space="preserve"> </w:t>
      </w:r>
      <w:r>
        <w:rPr>
          <w:rFonts w:hint="eastAsia" w:ascii="仿宋_GB2312" w:hAnsi="仿宋_GB2312" w:eastAsia="仿宋_GB2312" w:cs="仿宋_GB2312"/>
          <w:color w:val="333333"/>
          <w:kern w:val="0"/>
          <w:sz w:val="32"/>
          <w:szCs w:val="32"/>
          <w:lang w:val="en-US" w:eastAsia="zh-CN" w:bidi="ar-SA"/>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筱塘乡党政办编制，本年度报告中所列数据统计期限自2021年1月1日至2021年12月31日止，并通过丰城市人民政府门户网站中“政府信息公开年报”栏目（网址:http://www.jxfc.gov.cn/xxgk-show-122855.html</w:t>
      </w:r>
      <w:bookmarkStart w:id="0" w:name="_GoBack"/>
      <w:bookmarkEnd w:id="0"/>
      <w:r>
        <w:rPr>
          <w:rFonts w:hint="eastAsia" w:ascii="仿宋_GB2312" w:hAnsi="仿宋_GB2312" w:eastAsia="仿宋_GB2312" w:cs="仿宋_GB2312"/>
          <w:color w:val="333333"/>
          <w:kern w:val="0"/>
          <w:sz w:val="32"/>
          <w:szCs w:val="32"/>
          <w:lang w:val="en-US" w:eastAsia="zh-CN" w:bidi="ar-SA"/>
        </w:rPr>
        <w:t>）等平台向社会主动公开，如对本年报有疑问，请与筱塘乡党政办公室联系（地址：丰城市筱塘乡人民政府，电话：0795－6702022）。</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（一）主动公开情况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筱塘乡人民政府</w:t>
      </w:r>
      <w:r>
        <w:rPr>
          <w:rFonts w:hint="eastAsia" w:ascii="仿宋_GB2312" w:hAnsi="仿宋_GB2312" w:eastAsia="仿宋_GB2312" w:cs="仿宋_GB2312"/>
          <w:color w:val="333333"/>
          <w:kern w:val="0"/>
          <w:sz w:val="32"/>
          <w:szCs w:val="32"/>
        </w:rPr>
        <w:t>202</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eastAsia="zh-CN"/>
        </w:rPr>
        <w:t>在政府网站</w:t>
      </w:r>
      <w:r>
        <w:rPr>
          <w:rFonts w:hint="eastAsia" w:ascii="仿宋_GB2312" w:hAnsi="仿宋_GB2312" w:eastAsia="仿宋_GB2312" w:cs="仿宋_GB2312"/>
          <w:color w:val="333333"/>
          <w:kern w:val="0"/>
          <w:sz w:val="32"/>
          <w:szCs w:val="32"/>
        </w:rPr>
        <w:t>政务信息公开总计</w:t>
      </w:r>
      <w:r>
        <w:rPr>
          <w:rFonts w:hint="eastAsia" w:ascii="仿宋_GB2312" w:hAnsi="仿宋_GB2312" w:eastAsia="仿宋_GB2312" w:cs="仿宋_GB2312"/>
          <w:color w:val="333333"/>
          <w:kern w:val="0"/>
          <w:sz w:val="32"/>
          <w:szCs w:val="32"/>
          <w:lang w:val="en-US" w:eastAsia="zh-CN"/>
        </w:rPr>
        <w:t>87</w:t>
      </w:r>
      <w:r>
        <w:rPr>
          <w:rFonts w:hint="eastAsia" w:ascii="仿宋_GB2312" w:hAnsi="仿宋_GB2312" w:eastAsia="仿宋_GB2312" w:cs="仿宋_GB2312"/>
          <w:color w:val="333333"/>
          <w:kern w:val="0"/>
          <w:sz w:val="32"/>
          <w:szCs w:val="32"/>
        </w:rPr>
        <w:t>条，其中包括主动公开信息</w:t>
      </w:r>
      <w:r>
        <w:rPr>
          <w:rFonts w:hint="eastAsia" w:ascii="仿宋_GB2312" w:hAnsi="仿宋_GB2312" w:eastAsia="仿宋_GB2312" w:cs="仿宋_GB2312"/>
          <w:color w:val="333333"/>
          <w:kern w:val="0"/>
          <w:sz w:val="32"/>
          <w:szCs w:val="32"/>
          <w:lang w:val="en-US" w:eastAsia="zh-CN"/>
        </w:rPr>
        <w:t>87</w:t>
      </w:r>
      <w:r>
        <w:rPr>
          <w:rFonts w:hint="eastAsia" w:ascii="仿宋_GB2312" w:hAnsi="仿宋_GB2312" w:eastAsia="仿宋_GB2312" w:cs="仿宋_GB2312"/>
          <w:color w:val="333333"/>
          <w:kern w:val="0"/>
          <w:sz w:val="32"/>
          <w:szCs w:val="32"/>
        </w:rPr>
        <w:t>条，申请公开0条。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（二）依申请公开情况</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202</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eastAsia="zh-CN"/>
        </w:rPr>
        <w:t>筱塘乡人民政府</w:t>
      </w:r>
      <w:r>
        <w:rPr>
          <w:rFonts w:hint="eastAsia" w:ascii="仿宋_GB2312" w:hAnsi="仿宋_GB2312" w:eastAsia="仿宋_GB2312" w:cs="仿宋_GB2312"/>
          <w:color w:val="333333"/>
          <w:kern w:val="0"/>
          <w:sz w:val="32"/>
          <w:szCs w:val="32"/>
        </w:rPr>
        <w:t>高度重视依申请公开工作，不断完善制度机制，坚持依法规范办理，狠抓依申请办理质量，切实保障公众知情权，积极化解社会矛盾，不断增强人民群众获得感和幸福感。202</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eastAsia="zh-CN"/>
        </w:rPr>
        <w:t>筱塘乡人民政府</w:t>
      </w:r>
      <w:r>
        <w:rPr>
          <w:rFonts w:hint="eastAsia" w:ascii="仿宋_GB2312" w:hAnsi="仿宋_GB2312" w:eastAsia="仿宋_GB2312" w:cs="仿宋_GB2312"/>
          <w:color w:val="333333"/>
          <w:kern w:val="0"/>
          <w:sz w:val="32"/>
          <w:szCs w:val="32"/>
        </w:rPr>
        <w:t>共受理依申请公开0件。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（三）政府信息管理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强化信息审核管理，目前已形成由乡党委统一领导，办公室牵头协调，各部门单位各负其责，全员积极参与，乡纪委协调监督的信息公开领导体制和工作格局，即：由各部门具体指派专人负责公开信息的填报，信息填报后由部门负责人对拟公开的信息进行初审，通过初审并报经分管领导复审后，提交办公室复核后在政府信息公开网站发布。乡领导多次组织各部门负责人召开信息公开工作专题会议，就信息公开目录设置、信息公开与保密审查要求、信息公开工作中存在的问题等相关工作深入研究和探讨，结合党风廉政建设社会评价问题整改意见不断完善信息公开工作制度，规范信息公开管理模式，畅通信息公开运转机制，使信息公开工作整体水平不断提高。</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（四）</w:t>
      </w:r>
      <w:r>
        <w:rPr>
          <w:rFonts w:hint="eastAsia" w:ascii="楷体_GB2312" w:hAnsi="楷体_GB2312" w:eastAsia="楷体_GB2312" w:cs="楷体_GB2312"/>
          <w:b/>
          <w:bCs/>
          <w:color w:val="333333"/>
          <w:kern w:val="0"/>
          <w:sz w:val="32"/>
          <w:szCs w:val="32"/>
          <w:lang w:eastAsia="zh-CN"/>
        </w:rPr>
        <w:t>政务信息</w:t>
      </w:r>
      <w:r>
        <w:rPr>
          <w:rFonts w:hint="eastAsia" w:ascii="楷体_GB2312" w:hAnsi="楷体_GB2312" w:eastAsia="楷体_GB2312" w:cs="楷体_GB2312"/>
          <w:b/>
          <w:bCs/>
          <w:color w:val="333333"/>
          <w:kern w:val="0"/>
          <w:sz w:val="32"/>
          <w:szCs w:val="32"/>
        </w:rPr>
        <w:t>公开平台建设</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筱塘乡</w:t>
      </w:r>
      <w:r>
        <w:rPr>
          <w:rFonts w:hint="eastAsia" w:ascii="仿宋_GB2312" w:hAnsi="仿宋_GB2312" w:eastAsia="仿宋_GB2312" w:cs="仿宋_GB2312"/>
          <w:color w:val="333333"/>
          <w:kern w:val="0"/>
          <w:sz w:val="32"/>
          <w:szCs w:val="32"/>
        </w:rPr>
        <w:t>利用</w:t>
      </w:r>
      <w:r>
        <w:rPr>
          <w:rFonts w:hint="eastAsia" w:ascii="仿宋_GB2312" w:hAnsi="仿宋_GB2312" w:eastAsia="仿宋_GB2312" w:cs="仿宋_GB2312"/>
          <w:color w:val="333333"/>
          <w:kern w:val="0"/>
          <w:sz w:val="32"/>
          <w:szCs w:val="32"/>
          <w:lang w:eastAsia="zh-CN"/>
        </w:rPr>
        <w:t>人民政府</w:t>
      </w:r>
      <w:r>
        <w:rPr>
          <w:rFonts w:hint="eastAsia" w:ascii="仿宋_GB2312" w:hAnsi="仿宋_GB2312" w:eastAsia="仿宋_GB2312" w:cs="仿宋_GB2312"/>
          <w:color w:val="333333"/>
          <w:kern w:val="0"/>
          <w:sz w:val="32"/>
          <w:szCs w:val="32"/>
        </w:rPr>
        <w:t>信息公开平台和便民服务大厅集中公开，信息平台由专人负责网站后台的正常运行和管理，明确管理人员职责，确保网站安全和正常运行；在便民服务大厅中，采取墙上悬挂、摆放展板、发放传单的形式，向前来办事的群众进行最新政策的主动公开。</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建章立制，规范政府信息公开。202</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333333"/>
          <w:kern w:val="0"/>
          <w:sz w:val="32"/>
          <w:szCs w:val="32"/>
          <w:lang w:eastAsia="zh-CN"/>
        </w:rPr>
        <w:t>筱塘乡人民政府</w:t>
      </w:r>
      <w:r>
        <w:rPr>
          <w:rFonts w:hint="eastAsia" w:ascii="仿宋_GB2312" w:hAnsi="仿宋_GB2312" w:eastAsia="仿宋_GB2312" w:cs="仿宋_GB2312"/>
          <w:color w:val="333333"/>
          <w:kern w:val="0"/>
          <w:sz w:val="32"/>
          <w:szCs w:val="32"/>
        </w:rPr>
        <w:t>高度重视政府信息公开和政务公开工作，健全</w:t>
      </w:r>
      <w:r>
        <w:rPr>
          <w:rFonts w:hint="eastAsia" w:ascii="仿宋_GB2312" w:hAnsi="仿宋_GB2312" w:eastAsia="仿宋_GB2312" w:cs="仿宋_GB2312"/>
          <w:color w:val="333333"/>
          <w:kern w:val="0"/>
          <w:sz w:val="32"/>
          <w:szCs w:val="32"/>
          <w:lang w:eastAsia="zh-CN"/>
        </w:rPr>
        <w:t>筱塘乡人民政府</w:t>
      </w:r>
      <w:r>
        <w:rPr>
          <w:rFonts w:hint="eastAsia" w:ascii="仿宋_GB2312" w:hAnsi="仿宋_GB2312" w:eastAsia="仿宋_GB2312" w:cs="仿宋_GB2312"/>
          <w:color w:val="333333"/>
          <w:kern w:val="0"/>
          <w:sz w:val="32"/>
          <w:szCs w:val="32"/>
        </w:rPr>
        <w:t>信息主动公开、依申请公开、责任追究、公开评议、信息管理动态调整等政务公开工作制度。</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及时编制更新信息公开指南和信息公开目录。202</w:t>
      </w:r>
      <w:r>
        <w:rPr>
          <w:rFonts w:hint="eastAsia" w:ascii="仿宋_GB2312" w:hAnsi="仿宋_GB2312" w:eastAsia="仿宋_GB2312" w:cs="仿宋_GB2312"/>
          <w:color w:val="333333"/>
          <w:kern w:val="0"/>
          <w:sz w:val="32"/>
          <w:szCs w:val="32"/>
          <w:lang w:val="en-US" w:eastAsia="zh-CN"/>
        </w:rPr>
        <w:t>1</w:t>
      </w:r>
      <w:r>
        <w:rPr>
          <w:rFonts w:hint="eastAsia" w:ascii="仿宋_GB2312" w:hAnsi="仿宋_GB2312" w:eastAsia="仿宋_GB2312" w:cs="仿宋_GB2312"/>
          <w:color w:val="333333"/>
          <w:kern w:val="0"/>
          <w:sz w:val="32"/>
          <w:szCs w:val="32"/>
        </w:rPr>
        <w:t>年</w:t>
      </w:r>
      <w:r>
        <w:rPr>
          <w:rFonts w:hint="eastAsia" w:ascii="仿宋_GB2312" w:hAnsi="仿宋_GB2312" w:eastAsia="仿宋_GB2312" w:cs="仿宋_GB2312"/>
          <w:color w:val="auto"/>
          <w:kern w:val="0"/>
          <w:sz w:val="32"/>
          <w:szCs w:val="32"/>
          <w:lang w:eastAsia="zh-CN"/>
        </w:rPr>
        <w:t>筱塘乡人民政府</w:t>
      </w:r>
      <w:r>
        <w:rPr>
          <w:rFonts w:hint="eastAsia" w:ascii="仿宋_GB2312" w:hAnsi="仿宋_GB2312" w:eastAsia="仿宋_GB2312" w:cs="仿宋_GB2312"/>
          <w:color w:val="333333"/>
          <w:kern w:val="0"/>
          <w:sz w:val="32"/>
          <w:szCs w:val="32"/>
        </w:rPr>
        <w:t>按照市委、市政府有关文件的要求，结合自身实际，不断完善“信息公开指南、依申请公开、政府文件、机构设置、财政资金、应急管理、重点领域、公共资源交易”等栏目，不断更新</w:t>
      </w:r>
      <w:r>
        <w:rPr>
          <w:rFonts w:hint="eastAsia" w:ascii="仿宋_GB2312" w:hAnsi="仿宋_GB2312" w:eastAsia="仿宋_GB2312" w:cs="仿宋_GB2312"/>
          <w:color w:val="333333"/>
          <w:kern w:val="0"/>
          <w:sz w:val="32"/>
          <w:szCs w:val="32"/>
          <w:lang w:eastAsia="zh-CN"/>
        </w:rPr>
        <w:t>筱塘乡人民政府</w:t>
      </w:r>
      <w:r>
        <w:rPr>
          <w:rFonts w:hint="eastAsia" w:ascii="仿宋_GB2312" w:hAnsi="仿宋_GB2312" w:eastAsia="仿宋_GB2312" w:cs="仿宋_GB2312"/>
          <w:color w:val="333333"/>
          <w:kern w:val="0"/>
          <w:sz w:val="32"/>
          <w:szCs w:val="32"/>
        </w:rPr>
        <w:t>信息公开目录。</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333333"/>
          <w:kern w:val="0"/>
          <w:sz w:val="32"/>
          <w:szCs w:val="32"/>
        </w:rPr>
      </w:pPr>
      <w:r>
        <w:rPr>
          <w:rFonts w:hint="eastAsia" w:ascii="楷体_GB2312" w:hAnsi="楷体_GB2312" w:eastAsia="楷体_GB2312" w:cs="楷体_GB2312"/>
          <w:b/>
          <w:bCs/>
          <w:color w:val="333333"/>
          <w:kern w:val="0"/>
          <w:sz w:val="32"/>
          <w:szCs w:val="32"/>
        </w:rPr>
        <w:t>（五）监督保障情况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75" w:afterAutospacing="0" w:line="560" w:lineRule="exact"/>
        <w:ind w:left="0" w:right="0" w:firstLine="645"/>
        <w:textAlignment w:val="auto"/>
        <w:rPr>
          <w:sz w:val="32"/>
          <w:szCs w:val="32"/>
        </w:rPr>
      </w:pPr>
      <w:r>
        <w:rPr>
          <w:rFonts w:ascii="仿宋_gb2312" w:hAnsi="仿宋_gb2312" w:eastAsia="仿宋_gb2312" w:cs="仿宋_gb2312"/>
          <w:b/>
          <w:bCs/>
          <w:sz w:val="32"/>
          <w:szCs w:val="32"/>
          <w:shd w:val="clear" w:fill="FFFFFF"/>
        </w:rPr>
        <w:t>一是加强组织保障。</w:t>
      </w:r>
      <w:r>
        <w:rPr>
          <w:rFonts w:ascii="仿宋_gb2312" w:hAnsi="仿宋_gb2312" w:eastAsia="仿宋_gb2312" w:cs="仿宋_gb2312"/>
          <w:sz w:val="32"/>
          <w:szCs w:val="32"/>
          <w:shd w:val="clear" w:fill="FFFFFF"/>
        </w:rPr>
        <w:t>成立了由分管领导为组长、办公室成员为成员的信息公开工作领导小组，办公室负责具体日常工作，明确专人专职负责政府信息的公开。信息公开领导小组先后多次召开专题会议，认真学习有关信息公开的文件和会议精神，研究部署信息公开有关工作，促使了筱塘乡信息公开工作向制度化、规范化的方向发展；同时，在人员、经费、办公设备等方面给予优先考虑，保证信息公开工作正常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75" w:afterAutospacing="0" w:line="560" w:lineRule="exact"/>
        <w:ind w:left="0" w:right="0" w:firstLine="645"/>
        <w:textAlignment w:val="auto"/>
        <w:rPr>
          <w:sz w:val="32"/>
          <w:szCs w:val="32"/>
        </w:rPr>
      </w:pPr>
      <w:r>
        <w:rPr>
          <w:rFonts w:hint="default" w:ascii="仿宋_gb2312" w:hAnsi="仿宋_gb2312" w:eastAsia="仿宋_gb2312" w:cs="仿宋_gb2312"/>
          <w:b/>
          <w:bCs/>
          <w:sz w:val="32"/>
          <w:szCs w:val="32"/>
          <w:shd w:val="clear" w:fill="FFFFFF"/>
        </w:rPr>
        <w:t>二是强化监督考核。</w:t>
      </w:r>
      <w:r>
        <w:rPr>
          <w:rFonts w:hint="default" w:ascii="仿宋_gb2312" w:hAnsi="仿宋_gb2312" w:eastAsia="仿宋_gb2312" w:cs="仿宋_gb2312"/>
          <w:sz w:val="32"/>
          <w:szCs w:val="32"/>
          <w:shd w:val="clear" w:fill="FFFFFF"/>
        </w:rPr>
        <w:t>坚持把政府信息公开工作和政府网站、政务新媒体纳入绩效考核体系，考核结果定期通报。同时，积极开展社会评议，加强社会监督。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75" w:beforeAutospacing="0" w:after="75" w:afterAutospacing="0" w:line="560" w:lineRule="exact"/>
        <w:ind w:left="0" w:right="0" w:firstLine="645"/>
        <w:textAlignment w:val="auto"/>
        <w:rPr>
          <w:sz w:val="32"/>
          <w:szCs w:val="32"/>
        </w:rPr>
      </w:pPr>
      <w:r>
        <w:rPr>
          <w:rFonts w:hint="default" w:ascii="仿宋_gb2312" w:hAnsi="仿宋_gb2312" w:eastAsia="仿宋_gb2312" w:cs="仿宋_gb2312"/>
          <w:b/>
          <w:bCs/>
          <w:sz w:val="32"/>
          <w:szCs w:val="32"/>
          <w:shd w:val="clear" w:fill="FFFFFF"/>
        </w:rPr>
        <w:t>三是定期开展培训。</w:t>
      </w:r>
      <w:r>
        <w:rPr>
          <w:rFonts w:hint="default" w:ascii="仿宋_gb2312" w:hAnsi="仿宋_gb2312" w:eastAsia="仿宋_gb2312" w:cs="仿宋_gb2312"/>
          <w:sz w:val="32"/>
          <w:szCs w:val="32"/>
          <w:shd w:val="clear" w:fill="FFFFFF"/>
        </w:rPr>
        <w:t>加强工作人员培训，学习新《条例》各项规定，尤其是针对新《条例》施行过程中的常见问题，开展业务培训，不断提高人员素质和公开质量。组织开展全市政府网站和政务新媒体培训，提高各级各部门领导重视程度和经办人员业务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Style w:val="6"/>
          <w:rFonts w:hint="eastAsia" w:ascii="方正黑体_GBK" w:hAnsi="方正黑体_GBK" w:eastAsia="方正黑体_GBK" w:cs="方正黑体_GBK"/>
          <w:b w:val="0"/>
          <w:bCs/>
          <w:i w:val="0"/>
          <w:iCs w:val="0"/>
          <w:caps w:val="0"/>
          <w:color w:val="000000" w:themeColor="text1"/>
          <w:spacing w:val="0"/>
          <w:sz w:val="32"/>
          <w:szCs w:val="32"/>
          <w:shd w:val="clear" w:fill="FFFFFF"/>
          <w:lang w:eastAsia="zh-CN"/>
          <w14:textFill>
            <w14:solidFill>
              <w14:schemeClr w14:val="tx1"/>
            </w14:solidFill>
          </w14:textFill>
        </w:rPr>
      </w:pPr>
      <w:r>
        <w:rPr>
          <w:rStyle w:val="6"/>
          <w:rFonts w:hint="eastAsia" w:ascii="方正黑体_GBK" w:hAnsi="方正黑体_GBK" w:eastAsia="方正黑体_GBK" w:cs="方正黑体_GBK"/>
          <w:b w:val="0"/>
          <w:bCs/>
          <w:i w:val="0"/>
          <w:iCs w:val="0"/>
          <w:caps w:val="0"/>
          <w:color w:val="000000" w:themeColor="text1"/>
          <w:spacing w:val="0"/>
          <w:sz w:val="32"/>
          <w:szCs w:val="32"/>
          <w:shd w:val="clear" w:fill="FFFFFF"/>
          <w:lang w:eastAsia="zh-CN"/>
          <w14:textFill>
            <w14:solidFill>
              <w14:schemeClr w14:val="tx1"/>
            </w14:solidFill>
          </w14:textFill>
        </w:rPr>
        <w:t>二、主</w:t>
      </w:r>
      <w:r>
        <w:rPr>
          <w:rStyle w:val="6"/>
          <w:rFonts w:hint="eastAsia" w:ascii="方正黑体_GBK" w:hAnsi="方正黑体_GBK" w:eastAsia="方正黑体_GBK" w:cs="方正黑体_GBK"/>
          <w:b w:val="0"/>
          <w:bCs/>
          <w:i w:val="0"/>
          <w:iCs w:val="0"/>
          <w:caps w:val="0"/>
          <w:color w:val="000000" w:themeColor="text1"/>
          <w:spacing w:val="0"/>
          <w:sz w:val="32"/>
          <w:szCs w:val="32"/>
          <w:shd w:val="clear" w:fill="FFFFFF"/>
          <w14:textFill>
            <w14:solidFill>
              <w14:schemeClr w14:val="tx1"/>
            </w14:solidFill>
          </w14:textFill>
        </w:rPr>
        <w:t>动公开政府信息情况</w:t>
      </w:r>
    </w:p>
    <w:tbl>
      <w:tblPr>
        <w:tblStyle w:val="4"/>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一</w:t>
            </w:r>
            <w:r>
              <w:rPr>
                <w:rStyle w:val="6"/>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本年制发件数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本年废止件数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规章</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行政规范性文件</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61</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default"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五</w:t>
            </w:r>
            <w:r>
              <w:rPr>
                <w:rStyle w:val="6"/>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w:t>
            </w:r>
            <w:r>
              <w:rPr>
                <w:rStyle w:val="6"/>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处罚</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六</w:t>
            </w:r>
            <w:r>
              <w:rPr>
                <w:rStyle w:val="6"/>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行政许可</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行政强制</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第二十条第</w:t>
            </w:r>
            <w:r>
              <w:rPr>
                <w:rStyle w:val="6"/>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八</w:t>
            </w:r>
            <w:r>
              <w:rPr>
                <w:rStyle w:val="6"/>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本年收费金额</w:t>
            </w:r>
            <w:r>
              <w:rPr>
                <w:rStyle w:val="6"/>
                <w:rFonts w:hint="eastAsia"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单位：万元</w:t>
            </w: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21"/>
                <w:szCs w:val="21"/>
                <w:shd w:val="clear" w:fill="FFFFFF"/>
                <w:vertAlign w:val="baseline"/>
                <w:lang w:eastAsia="zh-CN"/>
                <w14:textFill>
                  <w14:solidFill>
                    <w14:schemeClr w14:val="tx1"/>
                  </w14:solidFill>
                </w14:textFill>
              </w:rPr>
              <w:t>行政事业性收费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21"/>
                <w:szCs w:val="21"/>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Style w:val="6"/>
          <w:rFonts w:hint="eastAsia" w:ascii="方正黑体_GBK" w:hAnsi="方正黑体_GBK" w:eastAsia="方正黑体_GBK" w:cs="方正黑体_GBK"/>
          <w:b w:val="0"/>
          <w:bCs/>
          <w:i w:val="0"/>
          <w:iCs w:val="0"/>
          <w:caps w:val="0"/>
          <w:color w:val="000000" w:themeColor="text1"/>
          <w:spacing w:val="0"/>
          <w:sz w:val="32"/>
          <w:szCs w:val="32"/>
          <w:shd w:val="clear" w:fill="FFFFFF"/>
          <w:lang w:eastAsia="zh-CN"/>
          <w14:textFill>
            <w14:solidFill>
              <w14:schemeClr w14:val="tx1"/>
            </w14:solidFill>
          </w14:textFill>
        </w:rPr>
      </w:pPr>
      <w:r>
        <w:rPr>
          <w:rStyle w:val="6"/>
          <w:rFonts w:hint="eastAsia" w:ascii="方正黑体_GBK" w:hAnsi="方正黑体_GBK" w:eastAsia="方正黑体_GBK" w:cs="方正黑体_GBK"/>
          <w:b w:val="0"/>
          <w:bCs/>
          <w:i w:val="0"/>
          <w:iCs w:val="0"/>
          <w:caps w:val="0"/>
          <w:color w:val="000000" w:themeColor="text1"/>
          <w:spacing w:val="0"/>
          <w:sz w:val="32"/>
          <w:szCs w:val="32"/>
          <w:shd w:val="clear" w:fill="FFFFFF"/>
          <w:lang w:eastAsia="zh-CN"/>
          <w14:textFill>
            <w14:solidFill>
              <w14:schemeClr w14:val="tx1"/>
            </w14:solidFill>
          </w14:textFill>
        </w:rPr>
        <w:t>三、收到和处理政府信息公开申请情况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（本列表的勾稽关系：第一项加第二项之和，等于第三项加第四项之和）</w:t>
            </w:r>
          </w:p>
        </w:tc>
        <w:tc>
          <w:tcPr>
            <w:tcW w:w="4463" w:type="dxa"/>
            <w:gridSpan w:val="7"/>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自然人</w:t>
            </w:r>
          </w:p>
        </w:tc>
        <w:tc>
          <w:tcPr>
            <w:tcW w:w="327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法人或其他组织</w:t>
            </w:r>
          </w:p>
        </w:tc>
        <w:tc>
          <w:tcPr>
            <w:tcW w:w="659"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534"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商业企业</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科研机构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社会公益组织</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法律服务机构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其他</w:t>
            </w:r>
          </w:p>
        </w:tc>
        <w:tc>
          <w:tcPr>
            <w:tcW w:w="659"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一、本年新收政府信息公开申请数量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二、上年结转政府信息公开申请数量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三、本年度办理结果</w:t>
            </w: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一</w:t>
            </w:r>
            <w:r>
              <w:rPr>
                <w:rStyle w:val="6"/>
                <w:rFonts w:hint="eastAsia"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予以公开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二</w:t>
            </w:r>
            <w:r>
              <w:rPr>
                <w:rStyle w:val="6"/>
                <w:rFonts w:hint="eastAsia"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部分公开（区分处理的，只计这一情形，不计其他情形）</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default" w:ascii="仿宋" w:hAnsi="仿宋" w:eastAsia="仿宋" w:cs="仿宋"/>
                <w:b w:val="0"/>
                <w:bCs/>
                <w:i w:val="0"/>
                <w:iCs w:val="0"/>
                <w:caps w:val="0"/>
                <w:color w:val="000000" w:themeColor="text1"/>
                <w:spacing w:val="0"/>
                <w:kern w:val="0"/>
                <w:sz w:val="18"/>
                <w:szCs w:val="18"/>
                <w:shd w:val="clear" w:fill="FFFFFF"/>
                <w:vertAlign w:val="baseline"/>
                <w:lang w:val="en-US" w:eastAsia="zh-CN" w:bidi="ar-SA"/>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三</w:t>
            </w:r>
            <w:r>
              <w:rPr>
                <w:rStyle w:val="6"/>
                <w:rFonts w:hint="eastAsia"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1.属于国家秘密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2.其他法律行政法规禁止公开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3.危及“三安全一稳定”</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4.保护第三方合法权益</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5.属于三类内部事务信息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6.属于四类过程性信息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7.属于行政执法案卷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8.属于行政查询事项</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四</w:t>
            </w:r>
            <w:r>
              <w:rPr>
                <w:rStyle w:val="6"/>
                <w:rFonts w:hint="eastAsia"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无法提供</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1.本机关不掌握相关政府信息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2.没有现成信息需要另行制作</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3.补正后申请内容仍不明确</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五</w:t>
            </w:r>
            <w:r>
              <w:rPr>
                <w:rStyle w:val="6"/>
                <w:rFonts w:hint="eastAsia"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1.信访举报投诉类申请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3.要求提供公开出版物</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4.无正当理由大量反复申请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5.要求行政机关确认或新出具已获取信息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六</w:t>
            </w:r>
            <w:r>
              <w:rPr>
                <w:rStyle w:val="6"/>
                <w:rFonts w:hint="eastAsia"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其他处理</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1.申请人无正当理由逾期不补正、行政机关不再处理其政府信息公开申请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2.申请人逾期未按收费通知要求缴纳费用、行政机关不再处理其政府信息公开申请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3.其他</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七</w:t>
            </w:r>
            <w:r>
              <w:rPr>
                <w:rStyle w:val="6"/>
                <w:rFonts w:hint="eastAsia"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w:t>
            </w:r>
            <w:r>
              <w:rPr>
                <w:rStyle w:val="6"/>
                <w:rFonts w:hint="eastAsia" w:ascii="宋体" w:hAnsi="宋体" w:eastAsia="宋体" w:cs="宋体"/>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总计</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8"/>
                <w:szCs w:val="18"/>
                <w:shd w:val="clear" w:fill="FFFFFF"/>
                <w:vertAlign w:val="baseline"/>
                <w:lang w:eastAsia="zh-CN"/>
                <w14:textFill>
                  <w14:solidFill>
                    <w14:schemeClr w14:val="tx1"/>
                  </w14:solidFill>
                </w14:textFill>
              </w:rPr>
              <w:t>四、结转下年度继续办理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default"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textAlignment w:val="auto"/>
        <w:rPr>
          <w:rStyle w:val="6"/>
          <w:rFonts w:hint="eastAsia" w:ascii="黑体" w:hAnsi="黑体" w:eastAsia="黑体" w:cs="黑体"/>
          <w:b w:val="0"/>
          <w:bCs/>
          <w:i w:val="0"/>
          <w:iCs w:val="0"/>
          <w:caps w:val="0"/>
          <w:color w:val="000000" w:themeColor="text1"/>
          <w:spacing w:val="0"/>
          <w:sz w:val="28"/>
          <w:szCs w:val="28"/>
          <w:shd w:val="clear" w:fill="FFFFFF"/>
          <w14:textFill>
            <w14:solidFill>
              <w14:schemeClr w14:val="tx1"/>
            </w14:solidFill>
          </w14:textFill>
        </w:rPr>
      </w:pPr>
      <w:r>
        <w:rPr>
          <w:rStyle w:val="6"/>
          <w:rFonts w:hint="eastAsia" w:ascii="方正黑体_GBK" w:hAnsi="方正黑体_GBK" w:eastAsia="方正黑体_GBK" w:cs="方正黑体_GBK"/>
          <w:b w:val="0"/>
          <w:bCs/>
          <w:i w:val="0"/>
          <w:iCs w:val="0"/>
          <w:caps w:val="0"/>
          <w:color w:val="000000" w:themeColor="text1"/>
          <w:spacing w:val="0"/>
          <w:sz w:val="32"/>
          <w:szCs w:val="32"/>
          <w:shd w:val="clear" w:fill="FFFFFF"/>
          <w:lang w:eastAsia="zh-CN"/>
          <w14:textFill>
            <w14:solidFill>
              <w14:schemeClr w14:val="tx1"/>
            </w14:solidFill>
          </w14:textFill>
        </w:rPr>
        <w:t>四、政府信息公开行政复议、行政诉讼情况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行政复议</w:t>
            </w:r>
          </w:p>
        </w:tc>
        <w:tc>
          <w:tcPr>
            <w:tcW w:w="5682" w:type="dxa"/>
            <w:gridSpan w:val="1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未经复议直接起诉</w:t>
            </w:r>
          </w:p>
        </w:tc>
        <w:tc>
          <w:tcPr>
            <w:tcW w:w="2842"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9" w:hRule="atLeast"/>
        </w:trPr>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结果</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审结</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宋体" w:hAnsi="宋体" w:eastAsia="宋体" w:cs="宋体"/>
                <w:b w:val="0"/>
                <w:bCs/>
                <w:i w:val="0"/>
                <w:iCs w:val="0"/>
                <w:caps w:val="0"/>
                <w:color w:val="000000" w:themeColor="text1"/>
                <w:spacing w:val="0"/>
                <w:kern w:val="0"/>
                <w:sz w:val="15"/>
                <w:szCs w:val="15"/>
                <w:shd w:val="clear" w:fill="FFFFFF"/>
                <w:vertAlign w:val="baseline"/>
                <w:lang w:val="en-US" w:eastAsia="zh-CN" w:bidi="ar"/>
                <w14:textFill>
                  <w14:solidFill>
                    <w14:schemeClr w14:val="tx1"/>
                  </w14:solidFill>
                </w14:textFill>
              </w:rPr>
            </w:pPr>
            <w:r>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val="en-US" w:eastAsia="zh-CN"/>
                <w14:textFill>
                  <w14:solidFill>
                    <w14:schemeClr w14:val="tx1"/>
                  </w14:solidFill>
                </w14:textFill>
              </w:rPr>
              <w:t>0</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宋体" w:hAnsi="宋体" w:eastAsia="宋体" w:cs="宋体"/>
                <w:b w:val="0"/>
                <w:bCs/>
                <w:i w:val="0"/>
                <w:iCs w:val="0"/>
                <w:caps w:val="0"/>
                <w:color w:val="000000" w:themeColor="text1"/>
                <w:spacing w:val="0"/>
                <w:sz w:val="15"/>
                <w:szCs w:val="15"/>
                <w:shd w:val="clear" w:fill="FFFFFF"/>
                <w:vertAlign w:val="baseline"/>
                <w:lang w:eastAsia="zh-CN"/>
                <w14:textFill>
                  <w14:solidFill>
                    <w14:schemeClr w14:val="tx1"/>
                  </w14:solidFill>
                </w14:textFill>
              </w:rPr>
            </w:pPr>
            <w:r>
              <w:rPr>
                <w:rStyle w:val="6"/>
                <w:rFonts w:hint="eastAsia" w:ascii="仿宋" w:hAnsi="仿宋" w:eastAsia="仿宋" w:cs="仿宋"/>
                <w:b w:val="0"/>
                <w:bCs/>
                <w:i w:val="0"/>
                <w:iCs w:val="0"/>
                <w:caps w:val="0"/>
                <w:color w:val="000000" w:themeColor="text1"/>
                <w:spacing w:val="0"/>
                <w:sz w:val="18"/>
                <w:szCs w:val="18"/>
                <w:shd w:val="clear" w:fill="FFFFFF"/>
                <w:vertAlign w:val="baseline"/>
                <w:lang w:eastAsia="zh-CN"/>
                <w14:textFill>
                  <w14:solidFill>
                    <w14:schemeClr w14:val="tx1"/>
                  </w14:solidFill>
                </w14:textFill>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Style w:val="6"/>
          <w:rFonts w:hint="eastAsia" w:ascii="方正黑体_GBK" w:hAnsi="方正黑体_GBK" w:eastAsia="方正黑体_GBK" w:cs="方正黑体_GBK"/>
          <w:b w:val="0"/>
          <w:bCs/>
          <w:i w:val="0"/>
          <w:iCs w:val="0"/>
          <w:caps w:val="0"/>
          <w:color w:val="000000" w:themeColor="text1"/>
          <w:spacing w:val="0"/>
          <w:sz w:val="32"/>
          <w:szCs w:val="32"/>
          <w:shd w:val="clear" w:fill="FFFFFF"/>
          <w:lang w:eastAsia="zh-CN"/>
          <w14:textFill>
            <w14:solidFill>
              <w14:schemeClr w14:val="tx1"/>
            </w14:solidFill>
          </w14:textFill>
        </w:rPr>
      </w:pPr>
      <w:r>
        <w:rPr>
          <w:rStyle w:val="6"/>
          <w:rFonts w:hint="eastAsia" w:ascii="方正黑体_GBK" w:hAnsi="方正黑体_GBK" w:eastAsia="方正黑体_GBK" w:cs="方正黑体_GBK"/>
          <w:b w:val="0"/>
          <w:bCs/>
          <w:i w:val="0"/>
          <w:iCs w:val="0"/>
          <w:caps w:val="0"/>
          <w:color w:val="000000" w:themeColor="text1"/>
          <w:spacing w:val="0"/>
          <w:sz w:val="32"/>
          <w:szCs w:val="32"/>
          <w:shd w:val="clear" w:fill="FFFFFF"/>
          <w:lang w:eastAsia="zh-CN"/>
          <w14:textFill>
            <w14:solidFill>
              <w14:schemeClr w14:val="tx1"/>
            </w14:solidFill>
          </w14:textFill>
        </w:rPr>
        <w:t>五、存在的主要问题及改进情况</w:t>
      </w:r>
    </w:p>
    <w:p>
      <w:pPr>
        <w:keepNext w:val="0"/>
        <w:keepLines w:val="0"/>
        <w:pageBreakBefore w:val="0"/>
        <w:widowControl/>
        <w:shd w:val="clear" w:color="auto" w:fill="FFFFFF"/>
        <w:kinsoku/>
        <w:overflowPunct/>
        <w:topLinePunct w:val="0"/>
        <w:autoSpaceDE/>
        <w:autoSpaceDN/>
        <w:bidi w:val="0"/>
        <w:adjustRightInd/>
        <w:snapToGrid/>
        <w:spacing w:line="560" w:lineRule="exact"/>
        <w:ind w:firstLine="559"/>
        <w:textAlignment w:val="auto"/>
        <w:rPr>
          <w:rFonts w:hint="eastAsia" w:ascii="仿宋_GB2312" w:hAnsi="宋体" w:eastAsia="仿宋_GB2312" w:cs="宋体"/>
          <w:color w:val="333333"/>
          <w:kern w:val="0"/>
          <w:sz w:val="29"/>
        </w:rPr>
      </w:pPr>
      <w:r>
        <w:rPr>
          <w:rFonts w:hint="eastAsia" w:ascii="仿宋_GB2312" w:hAnsi="宋体" w:eastAsia="仿宋_GB2312" w:cs="宋体"/>
          <w:color w:val="333333"/>
          <w:kern w:val="0"/>
          <w:sz w:val="29"/>
          <w:lang w:eastAsia="zh-CN"/>
        </w:rPr>
        <w:t>主要问题：一是</w:t>
      </w:r>
      <w:r>
        <w:rPr>
          <w:rFonts w:hint="eastAsia" w:ascii="仿宋_GB2312" w:hAnsi="宋体" w:eastAsia="仿宋_GB2312" w:cs="宋体"/>
          <w:color w:val="333333"/>
          <w:kern w:val="0"/>
          <w:sz w:val="29"/>
        </w:rPr>
        <w:t>政府信息公开</w:t>
      </w:r>
      <w:r>
        <w:rPr>
          <w:rFonts w:hint="eastAsia" w:ascii="仿宋_GB2312" w:hAnsi="宋体" w:eastAsia="仿宋_GB2312" w:cs="宋体"/>
          <w:color w:val="333333"/>
          <w:kern w:val="0"/>
          <w:sz w:val="29"/>
          <w:lang w:eastAsia="zh-CN"/>
        </w:rPr>
        <w:t>能按时完成但</w:t>
      </w:r>
      <w:r>
        <w:rPr>
          <w:rFonts w:hint="eastAsia" w:ascii="仿宋_GB2312" w:hAnsi="宋体" w:eastAsia="仿宋_GB2312" w:cs="宋体"/>
          <w:color w:val="333333"/>
          <w:kern w:val="0"/>
          <w:sz w:val="29"/>
        </w:rPr>
        <w:t>不全面</w:t>
      </w:r>
      <w:r>
        <w:rPr>
          <w:rFonts w:hint="eastAsia" w:ascii="仿宋_GB2312" w:hAnsi="宋体" w:eastAsia="仿宋_GB2312" w:cs="宋体"/>
          <w:color w:val="333333"/>
          <w:kern w:val="0"/>
          <w:sz w:val="29"/>
          <w:lang w:eastAsia="zh-CN"/>
        </w:rPr>
        <w:t>。</w:t>
      </w:r>
      <w:r>
        <w:rPr>
          <w:rFonts w:hint="eastAsia" w:ascii="仿宋_GB2312" w:hAnsi="宋体" w:eastAsia="仿宋_GB2312" w:cs="宋体"/>
          <w:color w:val="333333"/>
          <w:kern w:val="0"/>
          <w:sz w:val="29"/>
        </w:rPr>
        <w:t>大部分信息公开以</w:t>
      </w:r>
      <w:r>
        <w:rPr>
          <w:rFonts w:hint="eastAsia" w:ascii="仿宋_GB2312" w:hAnsi="宋体" w:eastAsia="仿宋_GB2312" w:cs="宋体"/>
          <w:color w:val="333333"/>
          <w:kern w:val="0"/>
          <w:sz w:val="29"/>
          <w:lang w:eastAsia="zh-CN"/>
        </w:rPr>
        <w:t>工作</w:t>
      </w:r>
      <w:r>
        <w:rPr>
          <w:rFonts w:hint="eastAsia" w:ascii="仿宋_GB2312" w:hAnsi="宋体" w:eastAsia="仿宋_GB2312" w:cs="宋体"/>
          <w:color w:val="333333"/>
          <w:kern w:val="0"/>
          <w:sz w:val="29"/>
        </w:rPr>
        <w:t>动态为主，依然存在信息公开时效性不强、深度不够、质量不高、内容不全等问题。</w:t>
      </w:r>
      <w:r>
        <w:rPr>
          <w:rFonts w:hint="eastAsia" w:ascii="仿宋_GB2312" w:hAnsi="宋体" w:eastAsia="仿宋_GB2312" w:cs="宋体"/>
          <w:color w:val="333333"/>
          <w:kern w:val="0"/>
          <w:sz w:val="29"/>
          <w:lang w:eastAsia="zh-CN"/>
        </w:rPr>
        <w:t>二是</w:t>
      </w:r>
      <w:r>
        <w:rPr>
          <w:rFonts w:hint="eastAsia" w:ascii="仿宋_GB2312" w:hAnsi="宋体" w:eastAsia="仿宋_GB2312" w:cs="宋体"/>
          <w:color w:val="333333"/>
          <w:kern w:val="0"/>
          <w:sz w:val="29"/>
        </w:rPr>
        <w:t>信息公开意识</w:t>
      </w:r>
      <w:r>
        <w:rPr>
          <w:rFonts w:hint="eastAsia" w:ascii="仿宋_GB2312" w:hAnsi="宋体" w:eastAsia="仿宋_GB2312" w:cs="宋体"/>
          <w:color w:val="333333"/>
          <w:kern w:val="0"/>
          <w:sz w:val="29"/>
          <w:lang w:eastAsia="zh-CN"/>
        </w:rPr>
        <w:t>还</w:t>
      </w:r>
      <w:r>
        <w:rPr>
          <w:rFonts w:hint="eastAsia" w:ascii="仿宋_GB2312" w:hAnsi="宋体" w:eastAsia="仿宋_GB2312" w:cs="宋体"/>
          <w:color w:val="333333"/>
          <w:kern w:val="0"/>
          <w:sz w:val="29"/>
        </w:rPr>
        <w:t>不</w:t>
      </w:r>
      <w:r>
        <w:rPr>
          <w:rFonts w:hint="eastAsia" w:ascii="仿宋_GB2312" w:hAnsi="宋体" w:eastAsia="仿宋_GB2312" w:cs="宋体"/>
          <w:color w:val="333333"/>
          <w:kern w:val="0"/>
          <w:sz w:val="29"/>
          <w:lang w:eastAsia="zh-CN"/>
        </w:rPr>
        <w:t>到位。</w:t>
      </w:r>
      <w:r>
        <w:rPr>
          <w:rFonts w:hint="eastAsia" w:ascii="仿宋_GB2312" w:hAnsi="宋体" w:eastAsia="仿宋_GB2312" w:cs="宋体"/>
          <w:color w:val="333333"/>
          <w:kern w:val="0"/>
          <w:sz w:val="29"/>
        </w:rPr>
        <w:t>群众关心关注的信息公开不及时、不全面、不具体，公开方式单一，</w:t>
      </w:r>
      <w:r>
        <w:rPr>
          <w:rFonts w:hint="eastAsia" w:ascii="仿宋_GB2312" w:hAnsi="宋体" w:eastAsia="仿宋_GB2312" w:cs="宋体"/>
          <w:color w:val="333333"/>
          <w:kern w:val="0"/>
          <w:sz w:val="29"/>
          <w:lang w:eastAsia="zh-CN"/>
        </w:rPr>
        <w:t>群众知晓度有待加强</w:t>
      </w:r>
      <w:r>
        <w:rPr>
          <w:rFonts w:hint="eastAsia" w:ascii="仿宋_GB2312" w:hAnsi="宋体" w:eastAsia="仿宋_GB2312" w:cs="宋体"/>
          <w:color w:val="333333"/>
          <w:kern w:val="0"/>
          <w:sz w:val="29"/>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580" w:firstLineChars="200"/>
        <w:textAlignment w:val="auto"/>
        <w:rPr>
          <w:rStyle w:val="6"/>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pPr>
      <w:r>
        <w:rPr>
          <w:rFonts w:hint="eastAsia" w:ascii="仿宋_GB2312" w:hAnsi="宋体" w:eastAsia="仿宋_GB2312" w:cs="宋体"/>
          <w:color w:val="333333"/>
          <w:kern w:val="0"/>
          <w:sz w:val="29"/>
          <w:lang w:eastAsia="zh-CN"/>
        </w:rPr>
        <w:t>改进情况：一是加强政府信息公开信息员队伍建设，提升信息员综合素质，提高工作效率</w:t>
      </w:r>
      <w:r>
        <w:rPr>
          <w:rFonts w:hint="eastAsia" w:ascii="仿宋" w:hAnsi="仿宋" w:eastAsia="仿宋" w:cs="仿宋"/>
          <w:i w:val="0"/>
          <w:caps w:val="0"/>
          <w:color w:val="333333"/>
          <w:spacing w:val="0"/>
          <w:sz w:val="31"/>
          <w:szCs w:val="31"/>
          <w:shd w:val="clear" w:fill="FFFFFF"/>
        </w:rPr>
        <w:t>。</w:t>
      </w:r>
      <w:r>
        <w:rPr>
          <w:rFonts w:hint="eastAsia" w:ascii="仿宋_GB2312" w:hAnsi="宋体" w:eastAsia="仿宋_GB2312" w:cs="宋体"/>
          <w:color w:val="333333"/>
          <w:kern w:val="0"/>
          <w:sz w:val="29"/>
          <w:lang w:val="en-US" w:eastAsia="zh-CN"/>
        </w:rPr>
        <w:t>同时加强业务能力，</w:t>
      </w:r>
      <w:r>
        <w:rPr>
          <w:rFonts w:hint="eastAsia" w:ascii="仿宋_GB2312" w:hAnsi="宋体" w:eastAsia="仿宋_GB2312" w:cs="宋体"/>
          <w:color w:val="333333"/>
          <w:kern w:val="0"/>
          <w:sz w:val="29"/>
          <w:lang w:eastAsia="zh-CN"/>
        </w:rPr>
        <w:t>开阔工作人员的视野，推动政务公开工作水平提高。二是深入推动政务公开规范化、标准化工作。按照上级关于政务公开工作的有关部署要求，加强政务公开目录、内容的规范化和标准化，健全完善政务公开各项制度，充分运用“互联网+政务服务”，积极进行政务公开平台建设。三是切实加强政务公开意识宣传。一方面在</w:t>
      </w:r>
      <w:r>
        <w:rPr>
          <w:rFonts w:hint="eastAsia" w:ascii="仿宋_GB2312" w:eastAsia="仿宋_GB2312" w:cs="宋体"/>
          <w:color w:val="333333"/>
          <w:kern w:val="0"/>
          <w:sz w:val="29"/>
          <w:lang w:eastAsia="zh-CN"/>
        </w:rPr>
        <w:t>筱塘乡人民政府</w:t>
      </w:r>
      <w:r>
        <w:rPr>
          <w:rFonts w:hint="eastAsia" w:ascii="仿宋_GB2312" w:hAnsi="宋体" w:eastAsia="仿宋_GB2312" w:cs="宋体"/>
          <w:color w:val="333333"/>
          <w:kern w:val="0"/>
          <w:sz w:val="29"/>
          <w:lang w:eastAsia="zh-CN"/>
        </w:rPr>
        <w:t>党政联席会专题部署政务公开工作，在</w:t>
      </w:r>
      <w:r>
        <w:rPr>
          <w:rFonts w:hint="eastAsia" w:ascii="仿宋_GB2312" w:eastAsia="仿宋_GB2312" w:cs="宋体"/>
          <w:color w:val="333333"/>
          <w:kern w:val="0"/>
          <w:sz w:val="29"/>
          <w:lang w:eastAsia="zh-CN"/>
        </w:rPr>
        <w:t>乡</w:t>
      </w:r>
      <w:r>
        <w:rPr>
          <w:rFonts w:hint="eastAsia" w:ascii="仿宋_GB2312" w:hAnsi="宋体" w:eastAsia="仿宋_GB2312" w:cs="宋体"/>
          <w:color w:val="333333"/>
          <w:kern w:val="0"/>
          <w:sz w:val="29"/>
          <w:lang w:eastAsia="zh-CN"/>
        </w:rPr>
        <w:t>干部大会上布置政务公开工作。让政务公开意识深入干部心中，以便信息公开人员更好获取相关信息。另一方面加强政务公开线下专区建设工作和宣传，使得群众有更便利的途径获取相关信息，同时也带动群众对政务公开工作的支持，提高知晓度、参与度。</w:t>
      </w: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Style w:val="6"/>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Style w:val="6"/>
          <w:rFonts w:hint="eastAsia" w:ascii="方正黑体_GBK" w:hAnsi="方正黑体_GBK" w:eastAsia="方正黑体_GBK" w:cs="方正黑体_GBK"/>
          <w:b/>
          <w:bCs w:val="0"/>
          <w:i w:val="0"/>
          <w:iCs w:val="0"/>
          <w:caps w:val="0"/>
          <w:color w:val="000000" w:themeColor="text1"/>
          <w:spacing w:val="0"/>
          <w:sz w:val="32"/>
          <w:szCs w:val="32"/>
          <w:shd w:val="clear" w:fill="FFFFFF"/>
          <w:lang w:eastAsia="zh-CN"/>
          <w14:textFill>
            <w14:solidFill>
              <w14:schemeClr w14:val="tx1"/>
            </w14:solidFill>
          </w14:textFill>
        </w:rPr>
      </w:pPr>
      <w:r>
        <w:rPr>
          <w:rStyle w:val="6"/>
          <w:rFonts w:hint="eastAsia" w:ascii="方正黑体_GBK" w:hAnsi="方正黑体_GBK" w:eastAsia="方正黑体_GBK" w:cs="方正黑体_GBK"/>
          <w:b/>
          <w:bCs w:val="0"/>
          <w:i w:val="0"/>
          <w:iCs w:val="0"/>
          <w:caps w:val="0"/>
          <w:color w:val="000000" w:themeColor="text1"/>
          <w:spacing w:val="0"/>
          <w:sz w:val="32"/>
          <w:szCs w:val="32"/>
          <w:shd w:val="clear" w:fill="FFFFFF"/>
          <w:lang w:eastAsia="zh-CN"/>
          <w14:textFill>
            <w14:solidFill>
              <w14:schemeClr w14:val="tx1"/>
            </w14:solidFill>
          </w14:textFill>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微软雅黑" w:hAnsi="微软雅黑" w:eastAsia="微软雅黑" w:cs="微软雅黑"/>
          <w:b w:val="0"/>
          <w:bCs/>
          <w:i w:val="0"/>
          <w:iCs w:val="0"/>
          <w:caps w:val="0"/>
          <w:color w:val="000000" w:themeColor="text1"/>
          <w:spacing w:val="0"/>
          <w:sz w:val="28"/>
          <w:szCs w:val="28"/>
          <w:lang w:eastAsia="zh-CN"/>
          <w14:textFill>
            <w14:solidFill>
              <w14:schemeClr w14:val="tx1"/>
            </w14:solidFill>
          </w14:textFill>
        </w:rPr>
      </w:pPr>
      <w:r>
        <w:rPr>
          <w:rFonts w:hint="eastAsia" w:ascii="微软雅黑" w:hAnsi="微软雅黑" w:eastAsia="微软雅黑" w:cs="微软雅黑"/>
          <w:b w:val="0"/>
          <w:bCs/>
          <w:i w:val="0"/>
          <w:iCs w:val="0"/>
          <w:caps w:val="0"/>
          <w:color w:val="000000" w:themeColor="text1"/>
          <w:spacing w:val="0"/>
          <w:sz w:val="28"/>
          <w:szCs w:val="28"/>
          <w:shd w:val="clear" w:fill="FFFFFF"/>
          <w14:textFill>
            <w14:solidFill>
              <w14:schemeClr w14:val="tx1"/>
            </w14:solidFill>
          </w14:textFill>
        </w:rPr>
        <w:t>　　</w:t>
      </w:r>
      <w:r>
        <w:rPr>
          <w:rFonts w:hint="eastAsia" w:ascii="仿宋_GB2312" w:hAnsi="宋体" w:eastAsia="仿宋_GB2312" w:cs="宋体"/>
          <w:color w:val="333333"/>
          <w:kern w:val="0"/>
          <w:sz w:val="29"/>
          <w:lang w:eastAsia="zh-CN"/>
        </w:rPr>
        <w:t>无。</w:t>
      </w:r>
    </w:p>
    <w:p>
      <w:pPr>
        <w:keepNext w:val="0"/>
        <w:keepLines w:val="0"/>
        <w:pageBreakBefore w:val="0"/>
        <w:kinsoku/>
        <w:wordWrap/>
        <w:overflowPunct/>
        <w:topLinePunct w:val="0"/>
        <w:autoSpaceDE/>
        <w:autoSpaceDN/>
        <w:bidi w:val="0"/>
        <w:adjustRightInd/>
        <w:snapToGrid/>
        <w:spacing w:line="560" w:lineRule="exact"/>
        <w:textAlignment w:val="auto"/>
        <w:rPr>
          <w:b w:val="0"/>
          <w:bCs/>
          <w:color w:val="000000" w:themeColor="text1"/>
          <w:sz w:val="28"/>
          <w:szCs w:val="28"/>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75" w:beforeAutospacing="0" w:after="75" w:afterAutospacing="0" w:line="405" w:lineRule="atLeast"/>
        <w:ind w:left="0" w:right="0" w:firstLine="645"/>
        <w:jc w:val="right"/>
        <w:rPr>
          <w:rFonts w:hint="eastAsia" w:ascii="仿宋_gb2312" w:hAnsi="仿宋_gb2312" w:eastAsia="仿宋_gb2312" w:cs="仿宋_gb2312"/>
          <w:sz w:val="31"/>
          <w:szCs w:val="31"/>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75" w:beforeAutospacing="0" w:after="75" w:afterAutospacing="0" w:line="405" w:lineRule="atLeast"/>
        <w:ind w:left="0" w:right="0" w:firstLine="645"/>
        <w:jc w:val="right"/>
        <w:rPr>
          <w:rFonts w:hint="eastAsia" w:ascii="仿宋_gb2312" w:hAnsi="仿宋_gb2312" w:eastAsia="仿宋_gb2312" w:cs="仿宋_gb2312"/>
          <w:sz w:val="31"/>
          <w:szCs w:val="31"/>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75" w:beforeAutospacing="0" w:after="75" w:afterAutospacing="0" w:line="405" w:lineRule="atLeast"/>
        <w:ind w:left="0" w:right="0" w:firstLine="645"/>
        <w:jc w:val="right"/>
        <w:rPr>
          <w:rFonts w:hint="eastAsia" w:ascii="仿宋_gb2312" w:hAnsi="仿宋_gb2312" w:eastAsia="仿宋_gb2312" w:cs="仿宋_gb2312"/>
          <w:sz w:val="31"/>
          <w:szCs w:val="31"/>
          <w:shd w:val="clear" w:fill="FFFFFF"/>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75" w:beforeAutospacing="0" w:after="75" w:afterAutospacing="0" w:line="405" w:lineRule="atLeast"/>
        <w:ind w:left="0" w:right="0" w:firstLine="645"/>
        <w:jc w:val="right"/>
      </w:pPr>
      <w:r>
        <w:rPr>
          <w:rFonts w:hint="eastAsia" w:ascii="仿宋_gb2312" w:hAnsi="仿宋_gb2312" w:eastAsia="仿宋_gb2312" w:cs="仿宋_gb2312"/>
          <w:sz w:val="31"/>
          <w:szCs w:val="31"/>
          <w:shd w:val="clear" w:fill="FFFFFF"/>
          <w:lang w:eastAsia="zh-CN"/>
        </w:rPr>
        <w:t>丰城市</w:t>
      </w:r>
      <w:r>
        <w:rPr>
          <w:rFonts w:ascii="仿宋_gb2312" w:hAnsi="仿宋_gb2312" w:eastAsia="仿宋_gb2312" w:cs="仿宋_gb2312"/>
          <w:sz w:val="31"/>
          <w:szCs w:val="31"/>
          <w:shd w:val="clear" w:fill="FFFFFF"/>
        </w:rPr>
        <w:t>筱塘乡人民政府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75" w:beforeAutospacing="0" w:after="75" w:afterAutospacing="0" w:line="405" w:lineRule="atLeast"/>
        <w:ind w:left="0" w:right="0" w:firstLine="645"/>
        <w:jc w:val="center"/>
      </w:pPr>
      <w:r>
        <w:rPr>
          <w:rFonts w:hint="eastAsia" w:ascii="仿宋_gb2312" w:hAnsi="仿宋_gb2312" w:eastAsia="仿宋_gb2312" w:cs="仿宋_gb2312"/>
          <w:sz w:val="31"/>
          <w:szCs w:val="31"/>
          <w:shd w:val="clear" w:fill="FFFFFF"/>
          <w:lang w:val="en-US" w:eastAsia="zh-CN"/>
        </w:rPr>
        <w:t xml:space="preserve">                              </w:t>
      </w:r>
      <w:r>
        <w:rPr>
          <w:rFonts w:hint="default" w:ascii="仿宋_gb2312" w:hAnsi="仿宋_gb2312" w:eastAsia="仿宋_gb2312" w:cs="仿宋_gb2312"/>
          <w:sz w:val="31"/>
          <w:szCs w:val="31"/>
          <w:shd w:val="clear" w:fill="FFFFFF"/>
        </w:rPr>
        <w:t>202</w:t>
      </w:r>
      <w:r>
        <w:rPr>
          <w:rFonts w:hint="eastAsia" w:ascii="仿宋_gb2312" w:hAnsi="仿宋_gb2312" w:eastAsia="仿宋_gb2312" w:cs="仿宋_gb2312"/>
          <w:sz w:val="31"/>
          <w:szCs w:val="31"/>
          <w:shd w:val="clear" w:fill="FFFFFF"/>
          <w:lang w:val="en-US" w:eastAsia="zh-CN"/>
        </w:rPr>
        <w:t>2</w:t>
      </w:r>
      <w:r>
        <w:rPr>
          <w:rFonts w:hint="default" w:ascii="仿宋_gb2312" w:hAnsi="仿宋_gb2312" w:eastAsia="仿宋_gb2312" w:cs="仿宋_gb2312"/>
          <w:sz w:val="31"/>
          <w:szCs w:val="31"/>
          <w:shd w:val="clear" w:fill="FFFFFF"/>
        </w:rPr>
        <w:t>年1月</w:t>
      </w:r>
      <w:r>
        <w:rPr>
          <w:rFonts w:hint="eastAsia" w:ascii="仿宋_gb2312" w:hAnsi="仿宋_gb2312" w:eastAsia="仿宋_gb2312" w:cs="仿宋_gb2312"/>
          <w:sz w:val="31"/>
          <w:szCs w:val="31"/>
          <w:shd w:val="clear" w:fill="FFFFFF"/>
          <w:lang w:val="en-US" w:eastAsia="zh-CN"/>
        </w:rPr>
        <w:t>8</w:t>
      </w:r>
      <w:r>
        <w:rPr>
          <w:rFonts w:hint="default" w:ascii="仿宋_gb2312" w:hAnsi="仿宋_gb2312" w:eastAsia="仿宋_gb2312" w:cs="仿宋_gb2312"/>
          <w:sz w:val="31"/>
          <w:szCs w:val="31"/>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067011-3CF1-4529-9DA5-0242F93989F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EBAE7EA5-7009-496D-9CA0-43E13FDE717F}"/>
  </w:font>
  <w:font w:name="方正黑体_GBK">
    <w:altName w:val="微软雅黑"/>
    <w:panose1 w:val="02000000000000000000"/>
    <w:charset w:val="86"/>
    <w:family w:val="auto"/>
    <w:pitch w:val="default"/>
    <w:sig w:usb0="00000000" w:usb1="00000000" w:usb2="00000000" w:usb3="00000000" w:csb0="00040000" w:csb1="00000000"/>
    <w:embedRegular r:id="rId3" w:fontKey="{4CEEBC2C-280B-4885-9276-6AFF7408046F}"/>
  </w:font>
  <w:font w:name="微软雅黑">
    <w:panose1 w:val="020B0503020204020204"/>
    <w:charset w:val="86"/>
    <w:family w:val="auto"/>
    <w:pitch w:val="default"/>
    <w:sig w:usb0="80000287" w:usb1="280F3C52" w:usb2="00000016" w:usb3="00000000" w:csb0="0004001F" w:csb1="00000000"/>
    <w:embedRegular r:id="rId4" w:fontKey="{67F81C6A-C6C5-48C6-A9BC-F3B00D665ECE}"/>
  </w:font>
  <w:font w:name="方正仿宋_GB2312">
    <w:panose1 w:val="02000000000000000000"/>
    <w:charset w:val="86"/>
    <w:family w:val="auto"/>
    <w:pitch w:val="default"/>
    <w:sig w:usb0="A00002BF" w:usb1="184F6CFA" w:usb2="00000012" w:usb3="00000000" w:csb0="00040001" w:csb1="00000000"/>
    <w:embedRegular r:id="rId5" w:fontKey="{E026DD88-72DB-4F21-8013-155EA492535B}"/>
  </w:font>
  <w:font w:name="仿宋_GB2312">
    <w:altName w:val="仿宋"/>
    <w:panose1 w:val="02010609030101010101"/>
    <w:charset w:val="86"/>
    <w:family w:val="modern"/>
    <w:pitch w:val="default"/>
    <w:sig w:usb0="00000000" w:usb1="00000000" w:usb2="00000000" w:usb3="00000000" w:csb0="00040000" w:csb1="00000000"/>
    <w:embedRegular r:id="rId6" w:fontKey="{9302E52B-6393-43EF-BEF3-9FAFEF7EF034}"/>
  </w:font>
  <w:font w:name="仿宋">
    <w:panose1 w:val="02010609060101010101"/>
    <w:charset w:val="86"/>
    <w:family w:val="auto"/>
    <w:pitch w:val="default"/>
    <w:sig w:usb0="800002BF" w:usb1="38CF7CFA" w:usb2="00000016" w:usb3="00000000" w:csb0="00040001" w:csb1="00000000"/>
    <w:embedRegular r:id="rId7" w:fontKey="{3C4512C0-1F2A-40C9-9E7F-20A7685BDA50}"/>
  </w:font>
  <w:font w:name="楷体_GB2312">
    <w:altName w:val="楷体"/>
    <w:panose1 w:val="02010609030101010101"/>
    <w:charset w:val="86"/>
    <w:family w:val="auto"/>
    <w:pitch w:val="default"/>
    <w:sig w:usb0="00000000" w:usb1="00000000" w:usb2="00000000" w:usb3="00000000" w:csb0="00040000" w:csb1="00000000"/>
    <w:embedRegular r:id="rId8" w:fontKey="{A632D209-B7FE-45CD-BB02-0FD96B67D58E}"/>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embedRegular r:id="rId9" w:fontKey="{D0F24029-E989-4D15-AE35-8BCE50D29F6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085C1B"/>
    <w:rsid w:val="0C5E5B83"/>
    <w:rsid w:val="21D80795"/>
    <w:rsid w:val="2C3D0ECF"/>
    <w:rsid w:val="31FFAFFC"/>
    <w:rsid w:val="357952FE"/>
    <w:rsid w:val="37FF5946"/>
    <w:rsid w:val="44E900C6"/>
    <w:rsid w:val="47F625E7"/>
    <w:rsid w:val="4E787A3E"/>
    <w:rsid w:val="59820874"/>
    <w:rsid w:val="5A136F6D"/>
    <w:rsid w:val="5E8F02E7"/>
    <w:rsid w:val="60D63BDB"/>
    <w:rsid w:val="62346E69"/>
    <w:rsid w:val="65AB618E"/>
    <w:rsid w:val="69AF5E9A"/>
    <w:rsid w:val="77CF6B88"/>
    <w:rsid w:val="7DDDF087"/>
    <w:rsid w:val="7FDB7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Administrator.BF-20210323HTCR</dc:creator>
  <cp:lastModifiedBy>任人渐疏</cp:lastModifiedBy>
  <dcterms:modified xsi:type="dcterms:W3CDTF">2022-01-20T02:40:01Z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507C24876C8D4EC58455D7EB6092678C</vt:lpwstr>
  </property>
</Properties>
</file>