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00"/>
        <w:jc w:val="left"/>
        <w:textAlignment w:val="baseline"/>
        <w:rPr>
          <w:rFonts w:hint="eastAsia" w:ascii="宋体" w:hAnsi="宋体" w:eastAsia="宋体" w:cs="宋体"/>
          <w:i w:val="0"/>
          <w:iCs w:val="0"/>
          <w:caps w:val="0"/>
          <w:color w:val="505050"/>
          <w:spacing w:val="0"/>
          <w:sz w:val="18"/>
          <w:szCs w:val="18"/>
          <w:u w:val="none"/>
        </w:rPr>
      </w:pPr>
      <w:r>
        <w:rPr>
          <w:rFonts w:ascii="仿宋" w:hAnsi="仿宋" w:eastAsia="仿宋" w:cs="仿宋"/>
          <w:i w:val="0"/>
          <w:iCs w:val="0"/>
          <w:caps w:val="0"/>
          <w:color w:val="505050"/>
          <w:spacing w:val="0"/>
          <w:sz w:val="30"/>
          <w:szCs w:val="30"/>
          <w:u w:val="none"/>
          <w:bdr w:val="none" w:color="auto" w:sz="0" w:space="0"/>
          <w:shd w:val="clear" w:fill="FFFFFF"/>
          <w:vertAlign w:val="baseline"/>
        </w:rPr>
        <w:t>本报告根据《中华人民共和国政府信息公开条例》（国务院令</w:t>
      </w:r>
      <w:r>
        <w:rPr>
          <w:rFonts w:hint="eastAsia" w:ascii="仿宋" w:hAnsi="仿宋" w:eastAsia="仿宋" w:cs="仿宋"/>
          <w:i w:val="0"/>
          <w:iCs w:val="0"/>
          <w:caps w:val="0"/>
          <w:color w:val="505050"/>
          <w:spacing w:val="0"/>
          <w:sz w:val="30"/>
          <w:szCs w:val="30"/>
          <w:u w:val="none"/>
          <w:bdr w:val="none" w:color="auto" w:sz="0" w:space="0"/>
          <w:shd w:val="clear" w:fill="FFFFFF"/>
          <w:vertAlign w:val="baseline"/>
        </w:rPr>
        <w:t>711号）《国务院办公厅政府信息与政务公开办公室关于政府信息公开工作年度报告有关事项的通知》（国办公开办函[2019]60号）等相关文件要求，汇总本单位在丰城市政府网站、政府信息公开平台数据，由杜市镇党政办公室编制，本年度报告中所列数据统计期限自2021年1月1日至2021年12月31日止，并通过丰城市人民政府门户网站中“政府信息公开年报”栏目（网址:</w:t>
      </w:r>
      <w:r>
        <w:rPr>
          <w:rFonts w:ascii="Times New Roman" w:hAnsi="Times New Roman" w:eastAsia="宋体" w:cs="Times New Roman"/>
          <w:i w:val="0"/>
          <w:iCs w:val="0"/>
          <w:caps w:val="0"/>
          <w:color w:val="505050"/>
          <w:spacing w:val="0"/>
          <w:sz w:val="27"/>
          <w:szCs w:val="27"/>
          <w:u w:val="none"/>
          <w:bdr w:val="none" w:color="auto" w:sz="0" w:space="0"/>
          <w:shd w:val="clear" w:fill="FFFFFF"/>
          <w:vertAlign w:val="baseline"/>
        </w:rPr>
        <w:t>http://www.jxfc.gov.cn/xxgk-show-123635.html</w:t>
      </w:r>
      <w:r>
        <w:rPr>
          <w:rFonts w:hint="eastAsia" w:ascii="仿宋" w:hAnsi="仿宋" w:eastAsia="仿宋" w:cs="仿宋"/>
          <w:i w:val="0"/>
          <w:iCs w:val="0"/>
          <w:caps w:val="0"/>
          <w:color w:val="505050"/>
          <w:spacing w:val="0"/>
          <w:sz w:val="30"/>
          <w:szCs w:val="30"/>
          <w:u w:val="none"/>
          <w:bdr w:val="none" w:color="auto" w:sz="0" w:space="0"/>
          <w:shd w:val="clear" w:fill="FFFFFF"/>
          <w:vertAlign w:val="baseline"/>
        </w:rPr>
        <w:t>）等平台向社会主动公开，如对本年报有疑问，请与杜市镇党政办公室联系（地址：丰城市杜市镇人民政府，电话：0795—6872081）。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505050"/>
          <w:spacing w:val="0"/>
          <w:sz w:val="31"/>
          <w:szCs w:val="31"/>
          <w:u w:val="none"/>
          <w:bdr w:val="none" w:color="auto" w:sz="0" w:space="0"/>
          <w:shd w:val="clear" w:fill="FFFFFF"/>
          <w:vertAlign w:val="baseline"/>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ascii="仿宋_gb2312" w:hAnsi="仿宋_gb2312" w:eastAsia="仿宋_gb2312" w:cs="仿宋_gb2312"/>
          <w:i w:val="0"/>
          <w:iCs w:val="0"/>
          <w:caps w:val="0"/>
          <w:color w:val="505050"/>
          <w:spacing w:val="0"/>
          <w:sz w:val="31"/>
          <w:szCs w:val="31"/>
          <w:u w:val="none"/>
          <w:bdr w:val="none" w:color="auto" w:sz="0" w:space="0"/>
          <w:shd w:val="clear" w:fill="FFFFFF"/>
          <w:vertAlign w:val="baseline"/>
        </w:rPr>
        <w:t>我镇认真贯彻落实《中华人民共和国政府信息公开条例》重要指示，不断完善政府信息公开制度、增强政府工作透明度，推进政府职能转变，打造服务型政府。</w:t>
      </w: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2021年以来，我镇党委、政府对政府信息公开工作高度重视，合理界定信息公开范围，妥善处理涉密信息，做到政府信息公开的规范化、系统化。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ascii="楷体" w:hAnsi="楷体" w:eastAsia="楷体" w:cs="楷体"/>
          <w:i w:val="0"/>
          <w:iCs w:val="0"/>
          <w:caps w:val="0"/>
          <w:color w:val="505050"/>
          <w:spacing w:val="0"/>
          <w:sz w:val="31"/>
          <w:szCs w:val="31"/>
          <w:u w:val="none"/>
          <w:bdr w:val="none" w:color="auto" w:sz="0" w:space="0"/>
          <w:shd w:val="clear" w:fill="FFFFFF"/>
          <w:vertAlign w:val="baseline"/>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杜市镇在政府网站政务信息公开总计231条，其中工作动态84条、机构概况1条、法规文件4条、人事信息3条、财政信息2条。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2021年，杜市镇高度重视依申请公开工作，稳步推进依申请公开工作。2021年，杜市镇未收到依申请公开信息。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为确保政务公开各项工作落到实处，我镇形成工作机制，党政办牵头，全镇各部门积极配合，将全镇的工作动态、法规文件、财政预决算等信息汇集，并按时统一由党政办公开在市政府信息公开平台。确保公开内容的及时性和准确无误，保障群众的知情权和参与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（四）政府信息公开平台建设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2021年，我镇双管齐下对平台进行建设。线上，对发布的各项信息进行完善，做好标准化、规范化。线下，在便民服务中心设置政务公开体验专区，配置一体机、专题宣传展板、书报架等，及时更新公开指南，并由专人进行引导使用，更好地方便公众查询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成立政务公开工作领导小组，按照上级部门对政府信息公开工作的要求，针对我镇工作实际，建立了由主要领导负责的组织推进机制。成立了我镇政务信息公开工作领导小组。政务服务中心主任为政府信息公开工作的具体负责人。同时，明确了领导小组的职责和工作任务，并把信息公开工作列入党委政府重要议事日程，实行目标管理，任务落实到人。形成了政府信息公开工作有领导分管、有工作机构、有具体工作责任人的内部运转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2021年我镇在市政务公开工作考核中取得了较好的成绩，设立意见箱和公布联系电话，接受各单位和群众的社会监督、社会评议，社会群众对我镇信息公开评议结果较好。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default" w:ascii="仿宋_gb2312" w:hAnsi="仿宋_gb2312" w:eastAsia="仿宋_gb2312" w:cs="仿宋_gb2312"/>
          <w:i w:val="0"/>
          <w:iCs w:val="0"/>
          <w:caps w:val="0"/>
          <w:color w:val="505050"/>
          <w:spacing w:val="0"/>
          <w:sz w:val="31"/>
          <w:szCs w:val="31"/>
          <w:u w:val="none"/>
          <w:bdr w:val="none" w:color="auto" w:sz="0" w:space="0"/>
          <w:shd w:val="clear" w:fill="FFFFFF"/>
          <w:vertAlign w:val="baseline"/>
        </w:rPr>
        <w:t>2021年我镇未发生政务公开责任追究情况。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sz w:val="31"/>
          <w:szCs w:val="31"/>
          <w:u w:val="none"/>
          <w:bdr w:val="none" w:color="auto" w:sz="0" w:space="0"/>
          <w:shd w:val="clear" w:fill="FFFFFF"/>
          <w:vertAlign w:val="baseline"/>
        </w:rPr>
        <w:t>二、主动公开政府信息情况</w:t>
      </w:r>
    </w:p>
    <w:tbl>
      <w:tblPr>
        <w:tblW w:w="904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61"/>
        <w:gridCol w:w="2261"/>
        <w:gridCol w:w="2261"/>
        <w:gridCol w:w="22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9045"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信息内容</w:t>
            </w:r>
          </w:p>
        </w:tc>
        <w:tc>
          <w:tcPr>
            <w:tcW w:w="226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本年制发件数</w:t>
            </w:r>
          </w:p>
        </w:tc>
        <w:tc>
          <w:tcPr>
            <w:tcW w:w="226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本年废止件数</w:t>
            </w:r>
          </w:p>
        </w:tc>
        <w:tc>
          <w:tcPr>
            <w:tcW w:w="226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规章</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行政规范性文件</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2</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信息内容</w:t>
            </w:r>
          </w:p>
        </w:tc>
        <w:tc>
          <w:tcPr>
            <w:tcW w:w="678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行政许可</w:t>
            </w:r>
          </w:p>
        </w:tc>
        <w:tc>
          <w:tcPr>
            <w:tcW w:w="678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信息内容</w:t>
            </w:r>
          </w:p>
        </w:tc>
        <w:tc>
          <w:tcPr>
            <w:tcW w:w="678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行政许可</w:t>
            </w:r>
          </w:p>
        </w:tc>
        <w:tc>
          <w:tcPr>
            <w:tcW w:w="678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行政强制</w:t>
            </w:r>
          </w:p>
        </w:tc>
        <w:tc>
          <w:tcPr>
            <w:tcW w:w="678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信息内容</w:t>
            </w:r>
          </w:p>
        </w:tc>
        <w:tc>
          <w:tcPr>
            <w:tcW w:w="678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行政事业性收费</w:t>
            </w:r>
          </w:p>
        </w:tc>
        <w:tc>
          <w:tcPr>
            <w:tcW w:w="678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21"/>
                <w:szCs w:val="21"/>
                <w:u w:val="none"/>
                <w:bdr w:val="none" w:color="auto" w:sz="0" w:space="0"/>
                <w:shd w:val="clear" w:fill="FFFFFF"/>
                <w:vertAlign w:val="baseli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sz w:val="31"/>
          <w:szCs w:val="31"/>
          <w:u w:val="none"/>
          <w:bdr w:val="none" w:color="auto" w:sz="0" w:space="0"/>
          <w:shd w:val="clear" w:fill="FFFFFF"/>
          <w:vertAlign w:val="baseline"/>
        </w:rPr>
        <w:t>三、收到和处理政府信息公开申请情况</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78"/>
        <w:gridCol w:w="630"/>
        <w:gridCol w:w="2631"/>
        <w:gridCol w:w="539"/>
        <w:gridCol w:w="657"/>
        <w:gridCol w:w="657"/>
        <w:gridCol w:w="657"/>
        <w:gridCol w:w="657"/>
        <w:gridCol w:w="657"/>
        <w:gridCol w:w="6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blCellSpacing w:w="0" w:type="dxa"/>
        </w:trPr>
        <w:tc>
          <w:tcPr>
            <w:tcW w:w="406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（本列表的勾稽关系：第一项加第二项之和，等于第三项加第四项之和）</w:t>
            </w:r>
          </w:p>
        </w:tc>
        <w:tc>
          <w:tcPr>
            <w:tcW w:w="447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4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自然人</w:t>
            </w:r>
          </w:p>
        </w:tc>
        <w:tc>
          <w:tcPr>
            <w:tcW w:w="327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法人或其他组织</w:t>
            </w:r>
          </w:p>
        </w:tc>
        <w:tc>
          <w:tcPr>
            <w:tcW w:w="66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4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商业企业</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科研机构</w:t>
            </w:r>
          </w:p>
        </w:tc>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社会公益组织</w:t>
            </w:r>
          </w:p>
        </w:tc>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法律服务机构</w:t>
            </w:r>
          </w:p>
        </w:tc>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其他</w:t>
            </w:r>
          </w:p>
        </w:tc>
        <w:tc>
          <w:tcPr>
            <w:tcW w:w="6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一、本年新收政府信息公开申请数量</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二、上年结转政府信息公开申请数量</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00" w:hRule="atLeast"/>
          <w:tblCellSpacing w:w="0" w:type="dxa"/>
        </w:trPr>
        <w:tc>
          <w:tcPr>
            <w:tcW w:w="78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三、本年度办理结果</w:t>
            </w:r>
          </w:p>
        </w:tc>
        <w:tc>
          <w:tcPr>
            <w:tcW w:w="328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(一)予以公开</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328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(二)部分公开（区分处理的，只计这一情形，不计其他情形）</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(三)不予公开</w:t>
            </w: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1.属于国家秘密</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2.其他法律行政法规禁止公开</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3.危及“三安全一稳定”</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4.保护第三方合法权益</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5.属于三类内部事务信息</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6.属于四类过程性信息</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7.属于行政执法案卷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8.属于行政查询事项</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(四)无法提供</w:t>
            </w: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1.本机关不掌握相关政府信息</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2.没有现成信息需要另行制作</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3.补正后申请内容仍不明确</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(五)不予公开</w:t>
            </w: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1.信访举报投诉类申请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7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2.重复申请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3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3.要求提供公开出版物</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4.无正当理由大量反复申请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5.要求行政机关确认或新出具已获取信息</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(六)其他处理</w:t>
            </w: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1.申请人无正当理由逾期不补正、行政机关不再处理其政府信息公开申请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2.申请人逾期未按收费通知要求缴纳费用、行政机关不再处理其政府信息公开申请</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26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3.其他</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3285"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(七)总计</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i w:val="0"/>
                <w:iCs w:val="0"/>
                <w:color w:val="505050"/>
                <w:u w:val="none"/>
              </w:rPr>
            </w:pPr>
            <w:r>
              <w:rPr>
                <w:rFonts w:hint="eastAsia" w:ascii="宋体" w:hAnsi="宋体" w:eastAsia="宋体" w:cs="宋体"/>
                <w:i w:val="0"/>
                <w:iCs w:val="0"/>
                <w:caps w:val="0"/>
                <w:color w:val="505050"/>
                <w:spacing w:val="0"/>
                <w:sz w:val="18"/>
                <w:szCs w:val="18"/>
                <w:u w:val="none"/>
                <w:bdr w:val="none" w:color="auto" w:sz="0" w:space="0"/>
                <w:shd w:val="clear" w:fill="FFFFFF"/>
                <w:vertAlign w:val="baseline"/>
              </w:rPr>
              <w:t>四、结转下年度继续办理</w:t>
            </w:r>
          </w:p>
        </w:tc>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6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sz w:val="31"/>
          <w:szCs w:val="31"/>
          <w:u w:val="none"/>
          <w:bdr w:val="none" w:color="auto" w:sz="0" w:space="0"/>
          <w:shd w:val="clear" w:fill="FFFFFF"/>
          <w:vertAlign w:val="baseline"/>
        </w:rPr>
        <w:t>四、政府信息公开行政复议、行政诉讼情况</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83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行政复议</w:t>
            </w:r>
          </w:p>
        </w:tc>
        <w:tc>
          <w:tcPr>
            <w:tcW w:w="5685" w:type="dxa"/>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7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维持</w:t>
            </w:r>
          </w:p>
        </w:tc>
        <w:tc>
          <w:tcPr>
            <w:tcW w:w="57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纠正</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审结</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总计</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0" w:hRule="atLeast"/>
          <w:tblCellSpacing w:w="0" w:type="dxa"/>
        </w:trPr>
        <w:tc>
          <w:tcPr>
            <w:tcW w:w="57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7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caps w:val="0"/>
                <w:spacing w:val="0"/>
                <w:sz w:val="24"/>
                <w:szCs w:val="24"/>
              </w:rPr>
            </w:pP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维持</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纠正</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审结</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总计</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维持</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纠正</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结果</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审结</w:t>
            </w:r>
          </w:p>
        </w:tc>
        <w:tc>
          <w:tcPr>
            <w:tcW w:w="5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宋体" w:hAnsi="宋体" w:eastAsia="宋体" w:cs="宋体"/>
                <w:i w:val="0"/>
                <w:iCs w:val="0"/>
                <w:caps w:val="0"/>
                <w:color w:val="505050"/>
                <w:spacing w:val="0"/>
                <w:sz w:val="15"/>
                <w:szCs w:val="15"/>
                <w:u w:val="none"/>
                <w:bdr w:val="none" w:color="auto" w:sz="0" w:space="0"/>
                <w:shd w:val="clear" w:fill="FFFFFF"/>
                <w:vertAlign w:val="baseli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c>
          <w:tcPr>
            <w:tcW w:w="5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i w:val="0"/>
                <w:iCs w:val="0"/>
                <w:color w:val="505050"/>
                <w:u w:val="none"/>
              </w:rPr>
            </w:pPr>
            <w:r>
              <w:rPr>
                <w:rFonts w:hint="eastAsia" w:ascii="仿宋" w:hAnsi="仿宋" w:eastAsia="仿宋" w:cs="仿宋"/>
                <w:i w:val="0"/>
                <w:iCs w:val="0"/>
                <w:caps w:val="0"/>
                <w:color w:val="505050"/>
                <w:spacing w:val="0"/>
                <w:sz w:val="18"/>
                <w:szCs w:val="18"/>
                <w:u w:val="none"/>
                <w:bdr w:val="none" w:color="auto" w:sz="0" w:space="0"/>
                <w:shd w:val="clear" w:fill="FFFFFF"/>
                <w:vertAlign w:val="baseli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sz w:val="31"/>
          <w:szCs w:val="31"/>
          <w:u w:val="none"/>
          <w:bdr w:val="none" w:color="auto" w:sz="0" w:space="0"/>
          <w:shd w:val="clear" w:fill="FFFFFF"/>
          <w:vertAlign w:val="baseline"/>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一是对《中华人民共和国政府信息公开条例》部分规定理解不透彻；二是工作人员缺乏专业技术支撑，存在信息更新不及时等问题；三是推动政务公开和政府信息公开的力度有所欠缺，公开内容不够丰富。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楷体" w:hAnsi="楷体" w:eastAsia="楷体" w:cs="楷体"/>
          <w:i w:val="0"/>
          <w:iCs w:val="0"/>
          <w:caps w:val="0"/>
          <w:color w:val="505050"/>
          <w:spacing w:val="0"/>
          <w:sz w:val="31"/>
          <w:szCs w:val="31"/>
          <w:u w:val="none"/>
          <w:bdr w:val="none" w:color="auto" w:sz="0" w:space="0"/>
          <w:shd w:val="clear" w:fill="FFFFFF"/>
          <w:vertAlign w:val="baseline"/>
        </w:rPr>
        <w:t>（二）改进计划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一是不断强化对工作人员的理论培训和业务培训，不断提高信息公开意识和服务意识，按程守规公开政府信息，确保政府信息及时、准确、全面地公开；二是扎实推进政府信息公开工作，多渠道、多形式，向社会和广大群众宣传政府信息公开工作，努力形成各级干部认真抓好政府信息公开、群众积极关心政府信息公开的社会氛围；三是不断充实和完善信息公开内容，确保信息公开及时、准确、完整，增强政府信息发布主动性、权威性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黑体" w:hAnsi="宋体" w:eastAsia="黑体" w:cs="黑体"/>
          <w:i w:val="0"/>
          <w:iCs w:val="0"/>
          <w:caps w:val="0"/>
          <w:color w:val="505050"/>
          <w:spacing w:val="0"/>
          <w:sz w:val="31"/>
          <w:szCs w:val="31"/>
          <w:u w:val="none"/>
          <w:bdr w:val="none" w:color="auto" w:sz="0" w:space="0"/>
          <w:shd w:val="clear" w:fill="FFFFFF"/>
          <w:vertAlign w:val="baseline"/>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2021年度杜市镇无其他需要报告的事项。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5"/>
        <w:jc w:val="left"/>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445"/>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杜市镇人民政府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5445"/>
        <w:jc w:val="both"/>
        <w:textAlignment w:val="baseline"/>
        <w:rPr>
          <w:rFonts w:hint="eastAsia" w:ascii="宋体" w:hAnsi="宋体" w:eastAsia="宋体" w:cs="宋体"/>
          <w:i w:val="0"/>
          <w:iCs w:val="0"/>
          <w:caps w:val="0"/>
          <w:color w:val="505050"/>
          <w:spacing w:val="0"/>
          <w:sz w:val="18"/>
          <w:szCs w:val="18"/>
          <w:u w:val="none"/>
        </w:rPr>
      </w:pPr>
      <w:r>
        <w:rPr>
          <w:rFonts w:hint="eastAsia" w:ascii="仿宋" w:hAnsi="仿宋" w:eastAsia="仿宋" w:cs="仿宋"/>
          <w:i w:val="0"/>
          <w:iCs w:val="0"/>
          <w:caps w:val="0"/>
          <w:color w:val="505050"/>
          <w:spacing w:val="0"/>
          <w:sz w:val="31"/>
          <w:szCs w:val="31"/>
          <w:u w:val="none"/>
          <w:bdr w:val="none" w:color="auto" w:sz="0" w:space="0"/>
          <w:shd w:val="clear" w:fill="FFFFFF"/>
          <w:vertAlign w:val="baseline"/>
        </w:rPr>
        <w:t>2022年1月13日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ZjliZGRhMmUwYjIyMThkYmNiZDRmZmU4NzgyZDIifQ=="/>
  </w:docVars>
  <w:rsids>
    <w:rsidRoot w:val="00000000"/>
    <w:rsid w:val="50E2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邓华华</cp:lastModifiedBy>
  <dcterms:modified xsi:type="dcterms:W3CDTF">2022-07-18T07:30:28Z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2A4A21DA327E4256B4DC966813C820BF</vt:lpwstr>
  </property>
</Properties>
</file>