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overflowPunct/>
        <w:topLinePunct w:val="0"/>
        <w:autoSpaceDE/>
        <w:autoSpaceDN/>
        <w:bidi w:val="0"/>
        <w:adjustRightInd/>
        <w:snapToGrid/>
        <w:spacing w:line="520" w:lineRule="exact"/>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桥东镇</w:t>
      </w:r>
      <w:r>
        <w:rPr>
          <w:rFonts w:hint="eastAsia" w:ascii="方正小标宋简体" w:hAnsi="方正小标宋简体" w:eastAsia="方正小标宋简体" w:cs="方正小标宋简体"/>
          <w:sz w:val="36"/>
          <w:szCs w:val="36"/>
        </w:rPr>
        <w:t>202</w:t>
      </w:r>
      <w:r>
        <w:rPr>
          <w:rFonts w:hint="eastAsia" w:ascii="方正小标宋简体" w:hAnsi="方正小标宋简体" w:eastAsia="方正小标宋简体" w:cs="方正小标宋简体"/>
          <w:sz w:val="36"/>
          <w:szCs w:val="36"/>
          <w:lang w:val="en-US" w:eastAsia="zh-CN"/>
        </w:rPr>
        <w:t>2</w:t>
      </w:r>
      <w:r>
        <w:rPr>
          <w:rFonts w:hint="eastAsia" w:ascii="方正小标宋简体" w:hAnsi="方正小标宋简体" w:eastAsia="方正小标宋简体" w:cs="方正小标宋简体"/>
          <w:sz w:val="36"/>
          <w:szCs w:val="36"/>
        </w:rPr>
        <w:t>年政府信息公开工作年度报告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2"/>
        <w:jc w:val="both"/>
        <w:rPr>
          <w:rFonts w:ascii="Calibri" w:hAnsi="Calibri" w:cs="Calibri"/>
          <w:i w:val="0"/>
          <w:iCs w:val="0"/>
          <w:caps w:val="0"/>
          <w:color w:val="000000"/>
          <w:spacing w:val="0"/>
          <w:sz w:val="32"/>
          <w:szCs w:val="32"/>
        </w:rPr>
      </w:pPr>
      <w:r>
        <w:rPr>
          <w:rFonts w:ascii="仿宋" w:hAnsi="仿宋" w:eastAsia="仿宋" w:cs="仿宋"/>
          <w:i w:val="0"/>
          <w:iCs w:val="0"/>
          <w:caps w:val="0"/>
          <w:color w:val="000000"/>
          <w:spacing w:val="0"/>
          <w:sz w:val="32"/>
          <w:szCs w:val="32"/>
          <w:bdr w:val="none" w:color="auto" w:sz="0" w:space="0"/>
          <w:shd w:val="clear" w:fill="FFFFFF"/>
        </w:rPr>
        <w:t>本报告依据《中华人民共和国政府信息公开条例》（国务院令第</w:t>
      </w:r>
      <w:r>
        <w:rPr>
          <w:rFonts w:hint="eastAsia" w:ascii="仿宋" w:hAnsi="仿宋" w:eastAsia="仿宋" w:cs="仿宋"/>
          <w:i w:val="0"/>
          <w:iCs w:val="0"/>
          <w:caps w:val="0"/>
          <w:color w:val="000000"/>
          <w:spacing w:val="0"/>
          <w:sz w:val="32"/>
          <w:szCs w:val="32"/>
          <w:bdr w:val="none" w:color="auto" w:sz="0" w:space="0"/>
          <w:shd w:val="clear" w:fill="FFFFFF"/>
        </w:rPr>
        <w:t>711号，以下简称新《条例》）和《国务院办公厅政府信息与政务公开办公室关于政府信息公开工作年度报告有关事项的通知》（国办公开办函〔2019〕60号）要求，由</w:t>
      </w:r>
      <w:r>
        <w:rPr>
          <w:rFonts w:hint="eastAsia" w:ascii="仿宋" w:hAnsi="仿宋" w:eastAsia="仿宋" w:cs="仿宋"/>
          <w:i w:val="0"/>
          <w:iCs w:val="0"/>
          <w:caps w:val="0"/>
          <w:color w:val="000000"/>
          <w:spacing w:val="0"/>
          <w:sz w:val="32"/>
          <w:szCs w:val="32"/>
          <w:bdr w:val="none" w:color="auto" w:sz="0" w:space="0"/>
          <w:shd w:val="clear" w:fill="FFFFFF"/>
          <w:lang w:eastAsia="zh-CN"/>
        </w:rPr>
        <w:t>桥东镇</w:t>
      </w:r>
      <w:r>
        <w:rPr>
          <w:rFonts w:hint="eastAsia" w:ascii="仿宋" w:hAnsi="仿宋" w:eastAsia="仿宋" w:cs="仿宋"/>
          <w:i w:val="0"/>
          <w:iCs w:val="0"/>
          <w:caps w:val="0"/>
          <w:color w:val="000000"/>
          <w:spacing w:val="0"/>
          <w:sz w:val="32"/>
          <w:szCs w:val="32"/>
          <w:bdr w:val="none" w:color="auto" w:sz="0" w:space="0"/>
          <w:shd w:val="clear" w:fill="FFFFFF"/>
        </w:rPr>
        <w:t>人民政府结合</w:t>
      </w:r>
      <w:r>
        <w:rPr>
          <w:rFonts w:hint="eastAsia" w:ascii="仿宋" w:hAnsi="仿宋" w:eastAsia="仿宋" w:cs="仿宋"/>
          <w:i w:val="0"/>
          <w:iCs w:val="0"/>
          <w:caps w:val="0"/>
          <w:color w:val="000000"/>
          <w:spacing w:val="0"/>
          <w:sz w:val="32"/>
          <w:szCs w:val="32"/>
          <w:bdr w:val="none" w:color="auto" w:sz="0" w:space="0"/>
          <w:shd w:val="clear" w:fill="FFFFFF"/>
          <w:lang w:eastAsia="zh-CN"/>
        </w:rPr>
        <w:t>丰城市</w:t>
      </w:r>
      <w:r>
        <w:rPr>
          <w:rFonts w:hint="eastAsia" w:ascii="仿宋" w:hAnsi="仿宋" w:eastAsia="仿宋" w:cs="仿宋"/>
          <w:i w:val="0"/>
          <w:iCs w:val="0"/>
          <w:caps w:val="0"/>
          <w:color w:val="000000"/>
          <w:spacing w:val="0"/>
          <w:sz w:val="32"/>
          <w:szCs w:val="32"/>
          <w:bdr w:val="none" w:color="auto" w:sz="0" w:space="0"/>
          <w:shd w:val="clear" w:fill="FFFFFF"/>
        </w:rPr>
        <w:t>人民政府网站、</w:t>
      </w:r>
      <w:r>
        <w:rPr>
          <w:rFonts w:hint="eastAsia" w:ascii="仿宋" w:hAnsi="仿宋" w:eastAsia="仿宋" w:cs="仿宋"/>
          <w:i w:val="0"/>
          <w:iCs w:val="0"/>
          <w:caps w:val="0"/>
          <w:color w:val="000000"/>
          <w:spacing w:val="0"/>
          <w:sz w:val="32"/>
          <w:szCs w:val="32"/>
          <w:bdr w:val="none" w:color="auto" w:sz="0" w:space="0"/>
          <w:shd w:val="clear" w:fill="FFFFFF"/>
          <w:lang w:eastAsia="zh-CN"/>
        </w:rPr>
        <w:t>丰城市</w:t>
      </w:r>
      <w:r>
        <w:rPr>
          <w:rFonts w:hint="eastAsia" w:ascii="仿宋" w:hAnsi="仿宋" w:eastAsia="仿宋" w:cs="仿宋"/>
          <w:i w:val="0"/>
          <w:iCs w:val="0"/>
          <w:caps w:val="0"/>
          <w:color w:val="000000"/>
          <w:spacing w:val="0"/>
          <w:sz w:val="32"/>
          <w:szCs w:val="32"/>
          <w:bdr w:val="none" w:color="auto" w:sz="0" w:space="0"/>
          <w:shd w:val="clear" w:fill="FFFFFF"/>
        </w:rPr>
        <w:t>政府信息公开平台等有关统计数据编制。本年度报告中所列数据的统计期限自2022年1月1日起至2022年12月31日止。全文包括总体情况，行政机关主动公开政府信息情况，行政机关收到和处理政府信息公开申请情况，因政府信息公开工作被申请行政复议、提起行政诉讼情况，政府信息公开工作存在的主要问题及改进情况，其他需要报告的事项共六部分组成。如对本报告有任何疑问，请与</w:t>
      </w:r>
      <w:r>
        <w:rPr>
          <w:rFonts w:hint="eastAsia" w:ascii="仿宋" w:hAnsi="仿宋" w:eastAsia="仿宋" w:cs="仿宋"/>
          <w:i w:val="0"/>
          <w:iCs w:val="0"/>
          <w:caps w:val="0"/>
          <w:color w:val="000000"/>
          <w:spacing w:val="0"/>
          <w:sz w:val="32"/>
          <w:szCs w:val="32"/>
          <w:bdr w:val="none" w:color="auto" w:sz="0" w:space="0"/>
          <w:shd w:val="clear" w:fill="FFFFFF"/>
          <w:lang w:eastAsia="zh-CN"/>
        </w:rPr>
        <w:t>丰城市桥东镇</w:t>
      </w:r>
      <w:r>
        <w:rPr>
          <w:rFonts w:hint="eastAsia" w:ascii="仿宋" w:hAnsi="仿宋" w:eastAsia="仿宋" w:cs="仿宋"/>
          <w:i w:val="0"/>
          <w:iCs w:val="0"/>
          <w:caps w:val="0"/>
          <w:color w:val="000000"/>
          <w:spacing w:val="0"/>
          <w:sz w:val="32"/>
          <w:szCs w:val="32"/>
          <w:bdr w:val="none" w:color="auto" w:sz="0" w:space="0"/>
          <w:shd w:val="clear" w:fill="FFFFFF"/>
        </w:rPr>
        <w:t>联系（地址：江西省</w:t>
      </w:r>
      <w:r>
        <w:rPr>
          <w:rFonts w:hint="eastAsia" w:ascii="仿宋" w:hAnsi="仿宋" w:eastAsia="仿宋" w:cs="仿宋"/>
          <w:i w:val="0"/>
          <w:iCs w:val="0"/>
          <w:caps w:val="0"/>
          <w:color w:val="000000"/>
          <w:spacing w:val="0"/>
          <w:sz w:val="32"/>
          <w:szCs w:val="32"/>
          <w:bdr w:val="none" w:color="auto" w:sz="0" w:space="0"/>
          <w:shd w:val="clear" w:fill="FFFFFF"/>
          <w:lang w:eastAsia="zh-CN"/>
        </w:rPr>
        <w:t>丰城市桥东镇</w:t>
      </w:r>
      <w:r>
        <w:rPr>
          <w:rFonts w:hint="eastAsia" w:ascii="仿宋" w:hAnsi="仿宋" w:eastAsia="仿宋" w:cs="仿宋"/>
          <w:i w:val="0"/>
          <w:iCs w:val="0"/>
          <w:caps w:val="0"/>
          <w:color w:val="000000"/>
          <w:spacing w:val="0"/>
          <w:sz w:val="32"/>
          <w:szCs w:val="32"/>
          <w:bdr w:val="none" w:color="auto" w:sz="0" w:space="0"/>
          <w:shd w:val="clear" w:fill="FFFFFF"/>
          <w:lang w:val="en-US" w:eastAsia="zh-CN"/>
        </w:rPr>
        <w:t>人民政府</w:t>
      </w:r>
      <w:r>
        <w:rPr>
          <w:rFonts w:hint="eastAsia" w:ascii="仿宋" w:hAnsi="仿宋" w:eastAsia="仿宋" w:cs="仿宋"/>
          <w:i w:val="0"/>
          <w:iCs w:val="0"/>
          <w:caps w:val="0"/>
          <w:color w:val="000000"/>
          <w:spacing w:val="0"/>
          <w:sz w:val="32"/>
          <w:szCs w:val="32"/>
          <w:bdr w:val="none" w:color="auto" w:sz="0" w:space="0"/>
          <w:shd w:val="clear" w:fill="FFFFFF"/>
        </w:rPr>
        <w:t>，电话：0795-</w:t>
      </w:r>
      <w:r>
        <w:rPr>
          <w:rFonts w:hint="eastAsia" w:ascii="仿宋" w:hAnsi="仿宋" w:eastAsia="仿宋" w:cs="仿宋"/>
          <w:i w:val="0"/>
          <w:iCs w:val="0"/>
          <w:caps w:val="0"/>
          <w:color w:val="000000"/>
          <w:spacing w:val="0"/>
          <w:sz w:val="32"/>
          <w:szCs w:val="32"/>
          <w:bdr w:val="none" w:color="auto" w:sz="0" w:space="0"/>
          <w:shd w:val="clear" w:fill="FFFFFF"/>
          <w:lang w:val="en-US" w:eastAsia="zh-CN"/>
        </w:rPr>
        <w:t>6512008</w:t>
      </w:r>
      <w:r>
        <w:rPr>
          <w:rFonts w:hint="eastAsia" w:ascii="仿宋" w:hAnsi="仿宋" w:eastAsia="仿宋" w:cs="仿宋"/>
          <w:i w:val="0"/>
          <w:iCs w:val="0"/>
          <w:caps w:val="0"/>
          <w:color w:val="000000"/>
          <w:spacing w:val="0"/>
          <w:sz w:val="32"/>
          <w:szCs w:val="32"/>
          <w:bdr w:val="none" w:color="auto" w:sz="0" w:space="0"/>
          <w:shd w:val="clear" w:fill="FFFFFF"/>
        </w:rPr>
        <w:t>，邮编：33</w:t>
      </w:r>
      <w:r>
        <w:rPr>
          <w:rFonts w:hint="eastAsia" w:ascii="仿宋" w:hAnsi="仿宋" w:eastAsia="仿宋" w:cs="仿宋"/>
          <w:i w:val="0"/>
          <w:iCs w:val="0"/>
          <w:caps w:val="0"/>
          <w:color w:val="000000"/>
          <w:spacing w:val="0"/>
          <w:sz w:val="32"/>
          <w:szCs w:val="32"/>
          <w:bdr w:val="none" w:color="auto" w:sz="0" w:space="0"/>
          <w:shd w:val="clear" w:fill="FFFFFF"/>
          <w:lang w:val="en-US" w:eastAsia="zh-CN"/>
        </w:rPr>
        <w:t>1106</w:t>
      </w:r>
      <w:r>
        <w:rPr>
          <w:rFonts w:hint="eastAsia" w:ascii="仿宋" w:hAnsi="仿宋" w:eastAsia="仿宋" w:cs="仿宋"/>
          <w:i w:val="0"/>
          <w:iCs w:val="0"/>
          <w:caps w:val="0"/>
          <w:color w:val="000000"/>
          <w:spacing w:val="0"/>
          <w:sz w:val="32"/>
          <w:szCs w:val="32"/>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3" w:beforeAutospacing="0" w:after="115" w:afterAutospacing="0"/>
        <w:ind w:left="0" w:right="0" w:firstLine="634"/>
        <w:jc w:val="both"/>
        <w:rPr>
          <w:rFonts w:hint="default" w:ascii="Calibri" w:hAnsi="Calibri" w:cs="Calibri"/>
          <w:i w:val="0"/>
          <w:iCs w:val="0"/>
          <w:caps w:val="0"/>
          <w:color w:val="000000"/>
          <w:spacing w:val="0"/>
          <w:sz w:val="32"/>
          <w:szCs w:val="32"/>
        </w:rPr>
      </w:pPr>
      <w:r>
        <w:rPr>
          <w:rFonts w:ascii="黑体" w:hAnsi="宋体" w:eastAsia="黑体" w:cs="黑体"/>
          <w:b/>
          <w:bCs/>
          <w:i w:val="0"/>
          <w:iCs w:val="0"/>
          <w:caps w:val="0"/>
          <w:color w:val="000000"/>
          <w:spacing w:val="0"/>
          <w:sz w:val="32"/>
          <w:szCs w:val="32"/>
          <w:bdr w:val="none" w:color="auto" w:sz="0" w:space="0"/>
          <w:shd w:val="clear" w:fill="FFFFFF"/>
        </w:rPr>
        <w:t>一、总体情况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645"/>
        <w:jc w:val="both"/>
        <w:rPr>
          <w:rFonts w:hint="default" w:ascii="Calibri" w:hAnsi="Calibri" w:cs="Calibri"/>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shd w:val="clear" w:fill="FFFFFF"/>
        </w:rPr>
        <w:t>2022年，我镇严格按照《中华人民共和国政府信息公开条例》规定，稳步推进政府信息公开工作。为保障公民、法人和其他组织依法获取政府信息，按照政府网站信息建设和政府网站信息内容建设的规定、要求，做好原创性信息的编制、加工和发布等工作，保证所提供的信息内容合法、完整、准确、及时，积极推进了本镇政府信息公开工作。</w:t>
      </w:r>
      <w:r>
        <w:rPr>
          <w:rFonts w:hint="eastAsia" w:ascii="仿宋" w:hAnsi="仿宋" w:eastAsia="仿宋" w:cs="仿宋"/>
          <w:b/>
          <w:bCs/>
          <w:i w:val="0"/>
          <w:iCs w:val="0"/>
          <w:caps w:val="0"/>
          <w:color w:val="000000"/>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645"/>
        <w:jc w:val="both"/>
        <w:rPr>
          <w:rFonts w:hint="default" w:ascii="Calibri" w:hAnsi="Calibri" w:cs="Calibri"/>
          <w:i w:val="0"/>
          <w:iCs w:val="0"/>
          <w:caps w:val="0"/>
          <w:color w:val="000000"/>
          <w:spacing w:val="0"/>
          <w:sz w:val="24"/>
          <w:szCs w:val="24"/>
        </w:rPr>
      </w:pPr>
      <w:r>
        <w:rPr>
          <w:rFonts w:hint="eastAsia" w:ascii="仿宋" w:hAnsi="仿宋" w:eastAsia="仿宋" w:cs="仿宋"/>
          <w:b/>
          <w:bCs/>
          <w:i w:val="0"/>
          <w:iCs w:val="0"/>
          <w:caps w:val="0"/>
          <w:color w:val="000000"/>
          <w:spacing w:val="0"/>
          <w:sz w:val="31"/>
          <w:szCs w:val="31"/>
          <w:bdr w:val="none" w:color="auto" w:sz="0" w:space="0"/>
          <w:shd w:val="clear" w:fill="FFFFFF"/>
        </w:rPr>
        <w:t>一是强化工作领导，信息公开长效化。</w:t>
      </w:r>
      <w:r>
        <w:rPr>
          <w:rFonts w:hint="eastAsia" w:ascii="仿宋" w:hAnsi="仿宋" w:eastAsia="仿宋" w:cs="仿宋"/>
          <w:i w:val="0"/>
          <w:iCs w:val="0"/>
          <w:caps w:val="0"/>
          <w:color w:val="000000"/>
          <w:spacing w:val="0"/>
          <w:sz w:val="31"/>
          <w:szCs w:val="31"/>
          <w:bdr w:val="none" w:color="auto" w:sz="0" w:space="0"/>
          <w:shd w:val="clear" w:fill="FFFFFF"/>
        </w:rPr>
        <w:t>镇领导班子高度重视政务公开工作，认真研究并贯彻落实</w:t>
      </w:r>
      <w:r>
        <w:rPr>
          <w:rFonts w:ascii="微软雅黑" w:hAnsi="微软雅黑" w:eastAsia="微软雅黑" w:cs="微软雅黑"/>
          <w:i w:val="0"/>
          <w:iCs w:val="0"/>
          <w:caps w:val="0"/>
          <w:color w:val="000000"/>
          <w:spacing w:val="0"/>
          <w:sz w:val="31"/>
          <w:szCs w:val="31"/>
          <w:bdr w:val="none" w:color="auto" w:sz="0" w:space="0"/>
          <w:shd w:val="clear" w:fill="FFFFFF"/>
        </w:rPr>
        <w:t> </w:t>
      </w:r>
      <w:r>
        <w:rPr>
          <w:rFonts w:hint="eastAsia" w:ascii="仿宋" w:hAnsi="仿宋" w:eastAsia="仿宋" w:cs="仿宋"/>
          <w:i w:val="0"/>
          <w:iCs w:val="0"/>
          <w:caps w:val="0"/>
          <w:color w:val="000000"/>
          <w:spacing w:val="0"/>
          <w:sz w:val="31"/>
          <w:szCs w:val="31"/>
          <w:bdr w:val="none" w:color="auto" w:sz="0" w:space="0"/>
          <w:shd w:val="clear" w:fill="FFFFFF"/>
        </w:rPr>
        <w:t>《政府信息公开条例》相关内容要求，统筹谋划各项工作，结合工作实际尤其是重点工作，明确公开目标、内容、渠道、时限，落实具体责任科室和责任人。根据工作进展，采取年初有部署、工作有落实、年终有总结，重点工作专项督办的方法，不断加大研究解决和推进工作的力度。同时成立了以镇长为组长，分管领导为副组长，的政务公开工作领导小组。下设办公室在镇党政办，明确了专职人员负责日常工作，为顺利推进政务公开工作提供了强有力的组织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645"/>
        <w:jc w:val="both"/>
        <w:rPr>
          <w:rFonts w:hint="default" w:ascii="Calibri" w:hAnsi="Calibri" w:cs="Calibri"/>
          <w:i w:val="0"/>
          <w:iCs w:val="0"/>
          <w:caps w:val="0"/>
          <w:color w:val="000000"/>
          <w:spacing w:val="0"/>
          <w:sz w:val="24"/>
          <w:szCs w:val="24"/>
        </w:rPr>
      </w:pPr>
      <w:r>
        <w:rPr>
          <w:rFonts w:hint="eastAsia" w:ascii="仿宋" w:hAnsi="仿宋" w:eastAsia="仿宋" w:cs="仿宋"/>
          <w:b/>
          <w:bCs/>
          <w:i w:val="0"/>
          <w:iCs w:val="0"/>
          <w:caps w:val="0"/>
          <w:color w:val="000000"/>
          <w:spacing w:val="0"/>
          <w:sz w:val="31"/>
          <w:szCs w:val="31"/>
          <w:bdr w:val="none" w:color="auto" w:sz="0" w:space="0"/>
          <w:shd w:val="clear" w:fill="FFFFFF"/>
        </w:rPr>
        <w:t>二是加强平台建设，规范信息录入。</w:t>
      </w:r>
      <w:r>
        <w:rPr>
          <w:rFonts w:hint="eastAsia" w:ascii="仿宋" w:hAnsi="仿宋" w:eastAsia="仿宋" w:cs="仿宋"/>
          <w:i w:val="0"/>
          <w:iCs w:val="0"/>
          <w:caps w:val="0"/>
          <w:color w:val="000000"/>
          <w:spacing w:val="0"/>
          <w:sz w:val="31"/>
          <w:szCs w:val="31"/>
          <w:bdr w:val="none" w:color="auto" w:sz="0" w:space="0"/>
          <w:shd w:val="clear" w:fill="FFFFFF"/>
        </w:rPr>
        <w:t>严格按照基层政务公开标准化规范化的要求，结合我镇工作实际和我镇的具体情况，对各项政务信息进行了认真的梳理。目前，我镇信息公开除常态化的信息公开事项以外，还有民生信息、贯彻落实、政策文件及解读等与民生关系密切的事项，方便了群众了解政务、监督政务。按照信息发布情况以及重点工作推进情况，按时做好自查和测评整改，保证信息发布有效性和时效性。围绕热点舆情积极主动回应，扩大群众知晓面，深入解读政策的决策背景依据、制定意义、创新举措等要素，更新完善政务公开内容，按时上传政府工作动态。深入推进重要决策预公开，切实保障公众的知情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645"/>
        <w:jc w:val="both"/>
        <w:rPr>
          <w:rFonts w:hint="default" w:ascii="Calibri" w:hAnsi="Calibri" w:cs="Calibri"/>
          <w:i w:val="0"/>
          <w:iCs w:val="0"/>
          <w:caps w:val="0"/>
          <w:color w:val="000000"/>
          <w:spacing w:val="0"/>
          <w:sz w:val="24"/>
          <w:szCs w:val="24"/>
        </w:rPr>
      </w:pPr>
      <w:r>
        <w:rPr>
          <w:rFonts w:hint="eastAsia" w:ascii="仿宋" w:hAnsi="仿宋" w:eastAsia="仿宋" w:cs="仿宋"/>
          <w:b/>
          <w:bCs/>
          <w:i w:val="0"/>
          <w:iCs w:val="0"/>
          <w:caps w:val="0"/>
          <w:color w:val="000000"/>
          <w:spacing w:val="0"/>
          <w:sz w:val="31"/>
          <w:szCs w:val="31"/>
          <w:bdr w:val="none" w:color="auto" w:sz="0" w:space="0"/>
          <w:shd w:val="clear" w:fill="FFFFFF"/>
        </w:rPr>
        <w:t>三是畅通信息渠道，信息公开精细化。</w:t>
      </w:r>
      <w:r>
        <w:rPr>
          <w:rFonts w:hint="eastAsia" w:ascii="仿宋" w:hAnsi="仿宋" w:eastAsia="仿宋" w:cs="仿宋"/>
          <w:i w:val="0"/>
          <w:iCs w:val="0"/>
          <w:caps w:val="0"/>
          <w:color w:val="000000"/>
          <w:spacing w:val="0"/>
          <w:sz w:val="31"/>
          <w:szCs w:val="31"/>
          <w:bdr w:val="none" w:color="auto" w:sz="0" w:space="0"/>
          <w:shd w:val="clear" w:fill="FFFFFF"/>
        </w:rPr>
        <w:t>今年来，我镇在社会治理服务中心建设了政务公开服务专区，配备智能查询机、休闲沙发、免费复印、免费充电、儿童休闲区、老花镜等，让群众“累了能歇脚、渴了能喝水、没电能充电”，每月定期更新对各村（社区）财务、社会救助等事项进行公开公示，并</w:t>
      </w:r>
      <w:r>
        <w:rPr>
          <w:rFonts w:hint="eastAsia" w:ascii="仿宋" w:hAnsi="仿宋" w:eastAsia="仿宋" w:cs="仿宋"/>
          <w:i w:val="0"/>
          <w:iCs w:val="0"/>
          <w:caps w:val="0"/>
          <w:color w:val="000000"/>
          <w:spacing w:val="0"/>
          <w:sz w:val="32"/>
          <w:szCs w:val="32"/>
          <w:bdr w:val="none" w:color="auto" w:sz="0" w:space="0"/>
          <w:shd w:val="clear" w:fill="FFFFFF"/>
        </w:rPr>
        <w:t>以公示栏、政府政务网等形式公开了镇政府的机构职能、办事的规范性文件、年度主要工作任务分工表和其他便民服务的措施，使前来办事的群众能直观、方便地了解办理业务的程序，提高工作效率，实现了勤政为民的目的。</w:t>
      </w:r>
      <w:r>
        <w:rPr>
          <w:rFonts w:hint="eastAsia" w:ascii="仿宋" w:hAnsi="仿宋" w:eastAsia="仿宋" w:cs="仿宋"/>
          <w:i w:val="0"/>
          <w:iCs w:val="0"/>
          <w:caps w:val="0"/>
          <w:color w:val="000000"/>
          <w:spacing w:val="0"/>
          <w:sz w:val="31"/>
          <w:szCs w:val="31"/>
          <w:bdr w:val="none" w:color="auto" w:sz="0" w:space="0"/>
          <w:shd w:val="clear" w:fill="FFFFFF"/>
        </w:rPr>
        <w:t>我们紧扣群众关心、社会关注的重点领域，不断拓宽信息来源，疏通收集渠道，硫保严肃规范、依法有序做好政府信息公开。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4"/>
        <w:jc w:val="both"/>
        <w:rPr>
          <w:rFonts w:hint="default" w:ascii="Calibri" w:hAnsi="Calibri" w:cs="Calibri"/>
          <w:i w:val="0"/>
          <w:iCs w:val="0"/>
          <w:caps w:val="0"/>
          <w:color w:val="000000"/>
          <w:spacing w:val="0"/>
          <w:sz w:val="32"/>
          <w:szCs w:val="32"/>
        </w:rPr>
      </w:pPr>
      <w:r>
        <w:rPr>
          <w:rFonts w:ascii="楷体" w:hAnsi="楷体" w:eastAsia="楷体" w:cs="楷体"/>
          <w:b/>
          <w:bCs/>
          <w:i w:val="0"/>
          <w:iCs w:val="0"/>
          <w:caps w:val="0"/>
          <w:color w:val="000000"/>
          <w:spacing w:val="0"/>
          <w:sz w:val="32"/>
          <w:szCs w:val="32"/>
          <w:bdr w:val="none" w:color="auto" w:sz="0" w:space="0"/>
          <w:shd w:val="clear" w:fill="FFFFFF"/>
        </w:rPr>
        <w:t>(</w:t>
      </w:r>
      <w:r>
        <w:rPr>
          <w:rFonts w:hint="eastAsia" w:ascii="楷体" w:hAnsi="楷体" w:eastAsia="楷体" w:cs="楷体"/>
          <w:b/>
          <w:bCs/>
          <w:i w:val="0"/>
          <w:iCs w:val="0"/>
          <w:caps w:val="0"/>
          <w:color w:val="000000"/>
          <w:spacing w:val="0"/>
          <w:sz w:val="32"/>
          <w:szCs w:val="32"/>
          <w:bdr w:val="none" w:color="auto" w:sz="0" w:space="0"/>
          <w:shd w:val="clear" w:fill="FFFFFF"/>
        </w:rPr>
        <w:t>一)主动公开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2"/>
        <w:jc w:val="both"/>
        <w:rPr>
          <w:rFonts w:hint="default"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严格按照新《条例》规定的要求，主动公开政府信息，2022年度，桥东镇主动公开政府信息共计308条，其中包括网络问政信息57条，工作动态251条，机构概况1条，法规文件5条，人事信息2条，财政信息3条，规划计划1条，政府信息公开年报1条</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rPr>
        <w:t>政府信息公开工作制度进一步完善，政府信息公开工作依法有序推进，未发现有延时、泄密等情况发生。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4"/>
        <w:jc w:val="both"/>
        <w:rPr>
          <w:rFonts w:hint="default" w:ascii="Calibri" w:hAnsi="Calibri" w:cs="Calibri"/>
          <w:i w:val="0"/>
          <w:iCs w:val="0"/>
          <w:caps w:val="0"/>
          <w:color w:val="000000"/>
          <w:spacing w:val="0"/>
          <w:sz w:val="32"/>
          <w:szCs w:val="32"/>
        </w:rPr>
      </w:pPr>
      <w:r>
        <w:rPr>
          <w:rFonts w:hint="eastAsia" w:ascii="楷体" w:hAnsi="楷体" w:eastAsia="楷体" w:cs="楷体"/>
          <w:b/>
          <w:bCs/>
          <w:i w:val="0"/>
          <w:iCs w:val="0"/>
          <w:caps w:val="0"/>
          <w:color w:val="000000"/>
          <w:spacing w:val="0"/>
          <w:sz w:val="32"/>
          <w:szCs w:val="32"/>
          <w:bdr w:val="none" w:color="auto" w:sz="0" w:space="0"/>
          <w:shd w:val="clear" w:fill="FFFFFF"/>
        </w:rPr>
        <w:t>(二)依申请公开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2"/>
        <w:jc w:val="both"/>
        <w:rPr>
          <w:rFonts w:hint="default" w:ascii="Calibri" w:hAnsi="Calibri" w:cs="Calibri"/>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2022年，</w:t>
      </w:r>
      <w:r>
        <w:rPr>
          <w:rFonts w:hint="eastAsia" w:ascii="仿宋" w:hAnsi="仿宋" w:eastAsia="仿宋" w:cs="仿宋"/>
          <w:i w:val="0"/>
          <w:iCs w:val="0"/>
          <w:caps w:val="0"/>
          <w:color w:val="000000"/>
          <w:spacing w:val="0"/>
          <w:sz w:val="32"/>
          <w:szCs w:val="32"/>
          <w:bdr w:val="none" w:color="auto" w:sz="0" w:space="0"/>
          <w:shd w:val="clear" w:fill="FFFFFF"/>
          <w:lang w:eastAsia="zh-CN"/>
        </w:rPr>
        <w:t>桥东镇</w:t>
      </w:r>
      <w:r>
        <w:rPr>
          <w:rFonts w:hint="eastAsia" w:ascii="仿宋" w:hAnsi="仿宋" w:eastAsia="仿宋" w:cs="仿宋"/>
          <w:i w:val="0"/>
          <w:iCs w:val="0"/>
          <w:caps w:val="0"/>
          <w:color w:val="000000"/>
          <w:spacing w:val="0"/>
          <w:sz w:val="32"/>
          <w:szCs w:val="32"/>
          <w:bdr w:val="none" w:color="auto" w:sz="0" w:space="0"/>
          <w:shd w:val="clear" w:fill="FFFFFF"/>
        </w:rPr>
        <w:t>线上受理依申请公开0件，线下受理依申请公开0件。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4"/>
        <w:jc w:val="both"/>
        <w:rPr>
          <w:rFonts w:hint="default" w:ascii="Calibri" w:hAnsi="Calibri" w:cs="Calibri"/>
          <w:i w:val="0"/>
          <w:iCs w:val="0"/>
          <w:caps w:val="0"/>
          <w:color w:val="000000"/>
          <w:spacing w:val="0"/>
          <w:sz w:val="32"/>
          <w:szCs w:val="32"/>
        </w:rPr>
      </w:pPr>
      <w:r>
        <w:rPr>
          <w:rFonts w:hint="eastAsia" w:ascii="楷体" w:hAnsi="楷体" w:eastAsia="楷体" w:cs="楷体"/>
          <w:b/>
          <w:bCs/>
          <w:i w:val="0"/>
          <w:iCs w:val="0"/>
          <w:caps w:val="0"/>
          <w:color w:val="000000"/>
          <w:spacing w:val="0"/>
          <w:sz w:val="32"/>
          <w:szCs w:val="32"/>
          <w:bdr w:val="none" w:color="auto" w:sz="0" w:space="0"/>
          <w:shd w:val="clear" w:fill="FFFFFF"/>
        </w:rPr>
        <w:t>(三)政府信息管理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4"/>
        <w:jc w:val="both"/>
        <w:rPr>
          <w:rFonts w:hint="default" w:ascii="Calibri" w:hAnsi="Calibri" w:cs="Calibri"/>
          <w:i w:val="0"/>
          <w:iCs w:val="0"/>
          <w:caps w:val="0"/>
          <w:color w:val="000000"/>
          <w:spacing w:val="0"/>
          <w:sz w:val="32"/>
          <w:szCs w:val="32"/>
        </w:rPr>
      </w:pPr>
      <w:r>
        <w:rPr>
          <w:rFonts w:hint="eastAsia" w:ascii="仿宋" w:hAnsi="仿宋" w:eastAsia="仿宋" w:cs="仿宋"/>
          <w:b/>
          <w:bCs/>
          <w:i w:val="0"/>
          <w:iCs w:val="0"/>
          <w:caps w:val="0"/>
          <w:color w:val="000000"/>
          <w:spacing w:val="0"/>
          <w:sz w:val="32"/>
          <w:szCs w:val="32"/>
          <w:bdr w:val="none" w:color="auto" w:sz="0" w:space="0"/>
          <w:shd w:val="clear" w:fill="FFFFFF"/>
        </w:rPr>
        <w:t>一是规范工作程序。</w:t>
      </w:r>
      <w:r>
        <w:rPr>
          <w:rFonts w:hint="eastAsia" w:ascii="仿宋" w:hAnsi="仿宋" w:eastAsia="仿宋" w:cs="仿宋"/>
          <w:i w:val="0"/>
          <w:iCs w:val="0"/>
          <w:caps w:val="0"/>
          <w:color w:val="000000"/>
          <w:spacing w:val="0"/>
          <w:sz w:val="32"/>
          <w:szCs w:val="32"/>
          <w:bdr w:val="none" w:color="auto" w:sz="0" w:space="0"/>
          <w:shd w:val="clear" w:fill="FFFFFF"/>
        </w:rPr>
        <w:t>严格采集、审核、发布程序，做好信息公开前的保密审查工作，做好原创性信息的编制和加工，保证所提供的信息内容合法、完整、准确、及时。二</w:t>
      </w:r>
      <w:r>
        <w:rPr>
          <w:rFonts w:hint="eastAsia" w:ascii="仿宋" w:hAnsi="仿宋" w:eastAsia="仿宋" w:cs="仿宋"/>
          <w:b/>
          <w:bCs/>
          <w:i w:val="0"/>
          <w:iCs w:val="0"/>
          <w:caps w:val="0"/>
          <w:color w:val="000000"/>
          <w:spacing w:val="0"/>
          <w:sz w:val="32"/>
          <w:szCs w:val="32"/>
          <w:bdr w:val="none" w:color="auto" w:sz="0" w:space="0"/>
          <w:shd w:val="clear" w:fill="FFFFFF"/>
        </w:rPr>
        <w:t>是加强信息发布。</w:t>
      </w:r>
      <w:r>
        <w:rPr>
          <w:rFonts w:hint="eastAsia" w:ascii="仿宋" w:hAnsi="仿宋" w:eastAsia="仿宋" w:cs="仿宋"/>
          <w:i w:val="0"/>
          <w:iCs w:val="0"/>
          <w:caps w:val="0"/>
          <w:color w:val="000000"/>
          <w:spacing w:val="0"/>
          <w:sz w:val="32"/>
          <w:szCs w:val="32"/>
          <w:bdr w:val="none" w:color="auto" w:sz="0" w:space="0"/>
          <w:shd w:val="clear" w:fill="FFFFFF"/>
        </w:rPr>
        <w:t>及时准确发布我镇重要会议、重要活动、重大决策信息。三</w:t>
      </w:r>
      <w:r>
        <w:rPr>
          <w:rFonts w:hint="eastAsia" w:ascii="仿宋" w:hAnsi="仿宋" w:eastAsia="仿宋" w:cs="仿宋"/>
          <w:b/>
          <w:bCs/>
          <w:i w:val="0"/>
          <w:iCs w:val="0"/>
          <w:caps w:val="0"/>
          <w:color w:val="000000"/>
          <w:spacing w:val="0"/>
          <w:sz w:val="32"/>
          <w:szCs w:val="32"/>
          <w:bdr w:val="none" w:color="auto" w:sz="0" w:space="0"/>
          <w:shd w:val="clear" w:fill="FFFFFF"/>
        </w:rPr>
        <w:t>是健全工作机制。</w:t>
      </w:r>
      <w:r>
        <w:rPr>
          <w:rFonts w:hint="eastAsia" w:ascii="仿宋" w:hAnsi="仿宋" w:eastAsia="仿宋" w:cs="仿宋"/>
          <w:i w:val="0"/>
          <w:iCs w:val="0"/>
          <w:caps w:val="0"/>
          <w:color w:val="000000"/>
          <w:spacing w:val="0"/>
          <w:sz w:val="32"/>
          <w:szCs w:val="32"/>
          <w:bdr w:val="none" w:color="auto" w:sz="0" w:space="0"/>
          <w:shd w:val="clear" w:fill="FFFFFF"/>
        </w:rPr>
        <w:t>按照“谁审查、谁负责”原则，严格落实“工作人员初审、科室负责人复核，重要信息分管领导审核”的上网信息发布制度，明确各环节工作职责和责任人员。</w:t>
      </w:r>
      <w:r>
        <w:rPr>
          <w:rFonts w:hint="eastAsia" w:ascii="仿宋" w:hAnsi="仿宋" w:eastAsia="仿宋" w:cs="仿宋"/>
          <w:b/>
          <w:bCs/>
          <w:i w:val="0"/>
          <w:iCs w:val="0"/>
          <w:caps w:val="0"/>
          <w:color w:val="000000"/>
          <w:spacing w:val="0"/>
          <w:sz w:val="32"/>
          <w:szCs w:val="32"/>
          <w:bdr w:val="none" w:color="auto" w:sz="0" w:space="0"/>
          <w:shd w:val="clear" w:fill="FFFFFF"/>
        </w:rPr>
        <w:t>四是加强交流互动。</w:t>
      </w:r>
      <w:r>
        <w:rPr>
          <w:rFonts w:hint="eastAsia" w:ascii="仿宋" w:hAnsi="仿宋" w:eastAsia="仿宋" w:cs="仿宋"/>
          <w:i w:val="0"/>
          <w:iCs w:val="0"/>
          <w:caps w:val="0"/>
          <w:color w:val="000000"/>
          <w:spacing w:val="0"/>
          <w:sz w:val="32"/>
          <w:szCs w:val="32"/>
          <w:bdr w:val="none" w:color="auto" w:sz="0" w:space="0"/>
          <w:shd w:val="clear" w:fill="FFFFFF"/>
        </w:rPr>
        <w:t>通过主动公开、依申请公开、咨询投诉、</w:t>
      </w:r>
      <w:r>
        <w:rPr>
          <w:rFonts w:hint="eastAsia" w:ascii="仿宋" w:hAnsi="仿宋" w:eastAsia="仿宋" w:cs="仿宋"/>
          <w:i w:val="0"/>
          <w:iCs w:val="0"/>
          <w:caps w:val="0"/>
          <w:color w:val="000000"/>
          <w:spacing w:val="0"/>
          <w:sz w:val="32"/>
          <w:szCs w:val="32"/>
          <w:bdr w:val="none" w:color="auto" w:sz="0" w:space="0"/>
          <w:shd w:val="clear" w:fill="FFFFFF"/>
          <w:lang w:eastAsia="zh-CN"/>
        </w:rPr>
        <w:t>丰城市</w:t>
      </w:r>
      <w:r>
        <w:rPr>
          <w:rFonts w:hint="eastAsia" w:ascii="仿宋" w:hAnsi="仿宋" w:eastAsia="仿宋" w:cs="仿宋"/>
          <w:i w:val="0"/>
          <w:iCs w:val="0"/>
          <w:caps w:val="0"/>
          <w:color w:val="000000"/>
          <w:spacing w:val="0"/>
          <w:sz w:val="32"/>
          <w:szCs w:val="32"/>
          <w:bdr w:val="none" w:color="auto" w:sz="0" w:space="0"/>
          <w:shd w:val="clear" w:fill="FFFFFF"/>
        </w:rPr>
        <w:t>12345政府服务热线等政民互动栏目，定期对网民意见建议进行分析汇总，积极回应社会关切。</w:t>
      </w:r>
      <w:r>
        <w:rPr>
          <w:rFonts w:hint="eastAsia" w:ascii="宋体" w:hAnsi="宋体" w:eastAsia="宋体" w:cs="宋体"/>
          <w:i w:val="0"/>
          <w:iCs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4"/>
        <w:jc w:val="both"/>
        <w:rPr>
          <w:rFonts w:hint="default" w:ascii="Calibri" w:hAnsi="Calibri" w:cs="Calibri"/>
          <w:i w:val="0"/>
          <w:iCs w:val="0"/>
          <w:caps w:val="0"/>
          <w:color w:val="000000"/>
          <w:spacing w:val="0"/>
          <w:sz w:val="32"/>
          <w:szCs w:val="32"/>
        </w:rPr>
      </w:pPr>
      <w:r>
        <w:rPr>
          <w:rFonts w:hint="eastAsia" w:ascii="楷体" w:hAnsi="楷体" w:eastAsia="楷体" w:cs="楷体"/>
          <w:b/>
          <w:bCs/>
          <w:i w:val="0"/>
          <w:iCs w:val="0"/>
          <w:caps w:val="0"/>
          <w:color w:val="000000"/>
          <w:spacing w:val="0"/>
          <w:sz w:val="32"/>
          <w:szCs w:val="32"/>
          <w:bdr w:val="none" w:color="auto" w:sz="0" w:space="0"/>
          <w:shd w:val="clear" w:fill="FFFFFF"/>
        </w:rPr>
        <w:t>(四)政府信息公开平台建设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2"/>
        <w:jc w:val="both"/>
        <w:rPr>
          <w:rFonts w:hint="default" w:ascii="Calibri" w:hAnsi="Calibri" w:cs="Calibri"/>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我镇以政府信息公开网站作为政府信息公开平台对政务动态等不同层面的信息进行主动公开。同时，根据市、区相关要求，完成政府信息公开体验区建设工作，确保打通政务公开“最后一公里”。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4"/>
        <w:jc w:val="both"/>
        <w:rPr>
          <w:rFonts w:hint="default" w:ascii="Calibri" w:hAnsi="Calibri" w:cs="Calibri"/>
          <w:i w:val="0"/>
          <w:iCs w:val="0"/>
          <w:caps w:val="0"/>
          <w:color w:val="000000"/>
          <w:spacing w:val="0"/>
          <w:sz w:val="32"/>
          <w:szCs w:val="32"/>
        </w:rPr>
      </w:pPr>
      <w:r>
        <w:rPr>
          <w:rFonts w:hint="eastAsia" w:ascii="楷体" w:hAnsi="楷体" w:eastAsia="楷体" w:cs="楷体"/>
          <w:b/>
          <w:bCs/>
          <w:i w:val="0"/>
          <w:iCs w:val="0"/>
          <w:caps w:val="0"/>
          <w:color w:val="000000"/>
          <w:spacing w:val="0"/>
          <w:sz w:val="32"/>
          <w:szCs w:val="32"/>
          <w:bdr w:val="none" w:color="auto" w:sz="0" w:space="0"/>
          <w:shd w:val="clear" w:fill="FFFFFF"/>
        </w:rPr>
        <w:t>(五)监督保障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3" w:beforeAutospacing="0" w:after="115" w:afterAutospacing="0"/>
        <w:ind w:left="0" w:right="0" w:firstLine="612"/>
        <w:jc w:val="both"/>
        <w:rPr>
          <w:rFonts w:hint="default" w:ascii="Calibri" w:hAnsi="Calibri" w:cs="Calibri"/>
          <w:i w:val="0"/>
          <w:iCs w:val="0"/>
          <w:caps w:val="0"/>
          <w:color w:val="000000"/>
          <w:spacing w:val="0"/>
          <w:sz w:val="32"/>
          <w:szCs w:val="32"/>
        </w:rPr>
      </w:pPr>
      <w:r>
        <w:rPr>
          <w:rFonts w:hint="eastAsia" w:ascii="仿宋" w:hAnsi="仿宋" w:eastAsia="仿宋" w:cs="仿宋"/>
          <w:i w:val="0"/>
          <w:iCs w:val="0"/>
          <w:caps w:val="0"/>
          <w:color w:val="000000"/>
          <w:spacing w:val="0"/>
          <w:sz w:val="31"/>
          <w:szCs w:val="31"/>
          <w:bdr w:val="none" w:color="auto" w:sz="0" w:space="0"/>
          <w:shd w:val="clear" w:fill="FFFFFF"/>
        </w:rPr>
        <w:t>为了更好的运行政务信息公开，我镇出台了政府信息公开工作相关制度，并根据工作需要实时完善更新政府信息公开工作相关制度，确保政务信息公开工作正常开展。镇政府对政务信息公开工作上会讨论，强调政务信息公开工作要注重信息报送流程的规范性，信息公开不能涉及群众隐私，做到量质并重，对公开信息逐级负责、层层把关，明确信息公开实行“谁主管，谁负责，谁发布，谁负责”的原则。</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520" w:lineRule="exact"/>
        <w:textAlignment w:val="auto"/>
        <w:rPr>
          <w:rStyle w:val="8"/>
          <w:rFonts w:ascii="黑体" w:hAnsi="黑体" w:eastAsia="黑体" w:cs="黑体"/>
          <w:b w:val="0"/>
          <w:bCs/>
          <w:color w:val="000000" w:themeColor="text1"/>
          <w:sz w:val="28"/>
          <w:szCs w:val="28"/>
          <w:shd w:val="clear" w:color="auto" w:fill="FFFFFF"/>
          <w14:textFill>
            <w14:solidFill>
              <w14:schemeClr w14:val="tx1"/>
            </w14:solidFill>
          </w14:textFill>
        </w:rPr>
      </w:pPr>
      <w:r>
        <w:rPr>
          <w:rStyle w:val="8"/>
          <w:rFonts w:hint="eastAsia" w:ascii="黑体" w:hAnsi="黑体" w:eastAsia="黑体" w:cs="黑体"/>
          <w:b w:val="0"/>
          <w:bCs/>
          <w:color w:val="000000" w:themeColor="text1"/>
          <w:sz w:val="28"/>
          <w:szCs w:val="28"/>
          <w:shd w:val="clear" w:color="auto" w:fill="FFFFFF"/>
          <w14:textFill>
            <w14:solidFill>
              <w14:schemeClr w14:val="tx1"/>
            </w14:solidFill>
          </w14:textFill>
        </w:rPr>
        <w:t xml:space="preserve"> </w:t>
      </w:r>
      <w:r>
        <w:rPr>
          <w:rStyle w:val="8"/>
          <w:rFonts w:hint="eastAsia" w:ascii="黑体" w:hAnsi="黑体" w:eastAsia="黑体" w:cs="黑体"/>
          <w:b w:val="0"/>
          <w:bCs/>
          <w:color w:val="000000" w:themeColor="text1"/>
          <w:sz w:val="28"/>
          <w:szCs w:val="28"/>
          <w:shd w:val="clear" w:color="auto" w:fill="FFFFFF"/>
          <w:lang w:val="en-US" w:eastAsia="zh-CN"/>
          <w14:textFill>
            <w14:solidFill>
              <w14:schemeClr w14:val="tx1"/>
            </w14:solidFill>
          </w14:textFill>
        </w:rPr>
        <w:t xml:space="preserve">  </w:t>
      </w:r>
      <w:r>
        <w:rPr>
          <w:rFonts w:hint="eastAsia" w:ascii="黑体" w:eastAsia="黑体" w:cs="黑体"/>
          <w:sz w:val="32"/>
          <w:szCs w:val="32"/>
        </w:rPr>
        <w:t>二、主动公开政府信息情况</w:t>
      </w:r>
    </w:p>
    <w:tbl>
      <w:tblPr>
        <w:tblStyle w:val="6"/>
        <w:tblW w:w="8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9"/>
        <w:gridCol w:w="2059"/>
        <w:gridCol w:w="2060"/>
        <w:gridCol w:w="2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240" w:type="dxa"/>
            <w:gridSpan w:val="4"/>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2059" w:type="dxa"/>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textAlignment w:val="auto"/>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信息内容</w:t>
            </w:r>
          </w:p>
        </w:tc>
        <w:tc>
          <w:tcPr>
            <w:tcW w:w="2059" w:type="dxa"/>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textAlignment w:val="auto"/>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本年制发件数</w:t>
            </w:r>
          </w:p>
        </w:tc>
        <w:tc>
          <w:tcPr>
            <w:tcW w:w="2060" w:type="dxa"/>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textAlignment w:val="auto"/>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本年废止件数</w:t>
            </w:r>
          </w:p>
        </w:tc>
        <w:tc>
          <w:tcPr>
            <w:tcW w:w="2062" w:type="dxa"/>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textAlignment w:val="auto"/>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2059" w:type="dxa"/>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textAlignment w:val="auto"/>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规章</w:t>
            </w:r>
          </w:p>
        </w:tc>
        <w:tc>
          <w:tcPr>
            <w:tcW w:w="2059" w:type="dxa"/>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0</w:t>
            </w:r>
          </w:p>
        </w:tc>
        <w:tc>
          <w:tcPr>
            <w:tcW w:w="2060" w:type="dxa"/>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0</w:t>
            </w:r>
          </w:p>
        </w:tc>
        <w:tc>
          <w:tcPr>
            <w:tcW w:w="2062" w:type="dxa"/>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2059" w:type="dxa"/>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textAlignment w:val="auto"/>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行政规范性文件</w:t>
            </w:r>
          </w:p>
        </w:tc>
        <w:tc>
          <w:tcPr>
            <w:tcW w:w="2059" w:type="dxa"/>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hint="eastAsia" w:eastAsia="宋体"/>
                <w:b w:val="0"/>
                <w:bCs/>
                <w:color w:val="000000" w:themeColor="text1"/>
                <w:sz w:val="21"/>
                <w:szCs w:val="21"/>
                <w:shd w:val="clear" w:color="auto" w:fill="FFFFFF"/>
                <w:lang w:eastAsia="zh-CN"/>
                <w14:textFill>
                  <w14:solidFill>
                    <w14:schemeClr w14:val="tx1"/>
                  </w14:solidFill>
                </w14:textFill>
              </w:rPr>
            </w:pPr>
            <w:r>
              <w:rPr>
                <w:rStyle w:val="8"/>
                <w:rFonts w:hint="eastAsia"/>
                <w:b w:val="0"/>
                <w:bCs/>
                <w:color w:val="000000" w:themeColor="text1"/>
                <w:sz w:val="21"/>
                <w:szCs w:val="21"/>
                <w:shd w:val="clear" w:color="auto" w:fill="FFFFFF"/>
                <w:lang w:val="en-US" w:eastAsia="zh-CN"/>
                <w14:textFill>
                  <w14:solidFill>
                    <w14:schemeClr w14:val="tx1"/>
                  </w14:solidFill>
                </w14:textFill>
              </w:rPr>
              <w:t>5</w:t>
            </w:r>
          </w:p>
        </w:tc>
        <w:tc>
          <w:tcPr>
            <w:tcW w:w="2060" w:type="dxa"/>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0</w:t>
            </w:r>
          </w:p>
        </w:tc>
        <w:tc>
          <w:tcPr>
            <w:tcW w:w="2062" w:type="dxa"/>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hint="default" w:eastAsia="宋体"/>
                <w:b w:val="0"/>
                <w:bCs/>
                <w:color w:val="000000" w:themeColor="text1"/>
                <w:sz w:val="21"/>
                <w:szCs w:val="21"/>
                <w:shd w:val="clear" w:color="auto" w:fill="FFFFFF"/>
                <w:lang w:val="en-US" w:eastAsia="zh-CN"/>
                <w14:textFill>
                  <w14:solidFill>
                    <w14:schemeClr w14:val="tx1"/>
                  </w14:solidFill>
                </w14:textFill>
              </w:rPr>
            </w:pPr>
            <w:r>
              <w:rPr>
                <w:rStyle w:val="8"/>
                <w:rFonts w:hint="eastAsia"/>
                <w:b w:val="0"/>
                <w:bCs/>
                <w:color w:val="000000" w:themeColor="text1"/>
                <w:sz w:val="21"/>
                <w:szCs w:val="21"/>
                <w:shd w:val="clear" w:color="auto" w:fill="FFFFFF"/>
                <w:lang w:val="en-US" w:eastAsia="zh-CN"/>
                <w14:textFill>
                  <w14:solidFill>
                    <w14:schemeClr w14:val="tx1"/>
                  </w14:solidFill>
                </w14:textFill>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240" w:type="dxa"/>
            <w:gridSpan w:val="4"/>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2059" w:type="dxa"/>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textAlignment w:val="auto"/>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信息内容</w:t>
            </w:r>
          </w:p>
        </w:tc>
        <w:tc>
          <w:tcPr>
            <w:tcW w:w="6181" w:type="dxa"/>
            <w:gridSpan w:val="3"/>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2059" w:type="dxa"/>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textAlignment w:val="auto"/>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行政许可</w:t>
            </w:r>
          </w:p>
        </w:tc>
        <w:tc>
          <w:tcPr>
            <w:tcW w:w="6181" w:type="dxa"/>
            <w:gridSpan w:val="3"/>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hint="eastAsia" w:eastAsia="宋体"/>
                <w:b w:val="0"/>
                <w:bCs/>
                <w:color w:val="000000" w:themeColor="text1"/>
                <w:sz w:val="21"/>
                <w:szCs w:val="21"/>
                <w:shd w:val="clear" w:color="auto" w:fill="FFFFFF"/>
                <w:lang w:eastAsia="zh-CN"/>
                <w14:textFill>
                  <w14:solidFill>
                    <w14:schemeClr w14:val="tx1"/>
                  </w14:solidFill>
                </w14:textFill>
              </w:rPr>
            </w:pPr>
            <w:r>
              <w:rPr>
                <w:rStyle w:val="8"/>
                <w:rFonts w:hint="eastAsia"/>
                <w:b w:val="0"/>
                <w:bCs/>
                <w:color w:val="000000" w:themeColor="text1"/>
                <w:sz w:val="21"/>
                <w:szCs w:val="21"/>
                <w:shd w:val="clear" w:color="auto" w:fill="FFFFFF"/>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240" w:type="dxa"/>
            <w:gridSpan w:val="4"/>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059" w:type="dxa"/>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textAlignment w:val="auto"/>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信息内容</w:t>
            </w:r>
          </w:p>
        </w:tc>
        <w:tc>
          <w:tcPr>
            <w:tcW w:w="6181" w:type="dxa"/>
            <w:gridSpan w:val="3"/>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2059" w:type="dxa"/>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textAlignment w:val="auto"/>
              <w:rPr>
                <w:rStyle w:val="8"/>
                <w:rFonts w:hint="eastAsia" w:eastAsia="宋体"/>
                <w:b w:val="0"/>
                <w:bCs/>
                <w:color w:val="000000" w:themeColor="text1"/>
                <w:sz w:val="21"/>
                <w:szCs w:val="21"/>
                <w:shd w:val="clear" w:color="auto" w:fill="FFFFFF"/>
                <w:lang w:eastAsia="zh-CN"/>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行政</w:t>
            </w:r>
            <w:r>
              <w:rPr>
                <w:rStyle w:val="8"/>
                <w:rFonts w:hint="eastAsia"/>
                <w:b w:val="0"/>
                <w:bCs/>
                <w:color w:val="000000" w:themeColor="text1"/>
                <w:sz w:val="21"/>
                <w:szCs w:val="21"/>
                <w:shd w:val="clear" w:color="auto" w:fill="FFFFFF"/>
                <w:lang w:eastAsia="zh-CN"/>
                <w14:textFill>
                  <w14:solidFill>
                    <w14:schemeClr w14:val="tx1"/>
                  </w14:solidFill>
                </w14:textFill>
              </w:rPr>
              <w:t>处罚</w:t>
            </w:r>
          </w:p>
        </w:tc>
        <w:tc>
          <w:tcPr>
            <w:tcW w:w="6181" w:type="dxa"/>
            <w:gridSpan w:val="3"/>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hint="eastAsia" w:eastAsia="宋体"/>
                <w:b w:val="0"/>
                <w:bCs/>
                <w:color w:val="000000" w:themeColor="text1"/>
                <w:sz w:val="21"/>
                <w:szCs w:val="21"/>
                <w:shd w:val="clear" w:color="auto" w:fill="FFFFFF"/>
                <w:lang w:eastAsia="zh-CN"/>
                <w14:textFill>
                  <w14:solidFill>
                    <w14:schemeClr w14:val="tx1"/>
                  </w14:solidFill>
                </w14:textFill>
              </w:rPr>
            </w:pPr>
            <w:r>
              <w:rPr>
                <w:rStyle w:val="8"/>
                <w:rFonts w:hint="eastAsia"/>
                <w:b w:val="0"/>
                <w:bCs/>
                <w:color w:val="000000" w:themeColor="text1"/>
                <w:sz w:val="21"/>
                <w:szCs w:val="21"/>
                <w:shd w:val="clear" w:color="auto" w:fill="FFFFFF"/>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059" w:type="dxa"/>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textAlignment w:val="auto"/>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行政强制</w:t>
            </w:r>
          </w:p>
        </w:tc>
        <w:tc>
          <w:tcPr>
            <w:tcW w:w="6181" w:type="dxa"/>
            <w:gridSpan w:val="3"/>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240" w:type="dxa"/>
            <w:gridSpan w:val="4"/>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059" w:type="dxa"/>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textAlignment w:val="auto"/>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信息内容</w:t>
            </w:r>
          </w:p>
        </w:tc>
        <w:tc>
          <w:tcPr>
            <w:tcW w:w="6181" w:type="dxa"/>
            <w:gridSpan w:val="3"/>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059" w:type="dxa"/>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textAlignment w:val="auto"/>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行政事业性收费</w:t>
            </w:r>
          </w:p>
        </w:tc>
        <w:tc>
          <w:tcPr>
            <w:tcW w:w="6181" w:type="dxa"/>
            <w:gridSpan w:val="3"/>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0</w:t>
            </w:r>
          </w:p>
        </w:tc>
      </w:tr>
    </w:tbl>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520" w:lineRule="exact"/>
        <w:textAlignment w:val="auto"/>
        <w:rPr>
          <w:rFonts w:ascii="微软雅黑" w:hAnsi="微软雅黑" w:eastAsia="微软雅黑" w:cs="微软雅黑"/>
          <w:color w:val="000000" w:themeColor="text1"/>
          <w:sz w:val="22"/>
          <w:szCs w:val="22"/>
          <w:shd w:val="clear" w:color="auto" w:fill="FFFFFF"/>
          <w14:textFill>
            <w14:solidFill>
              <w14:schemeClr w14:val="tx1"/>
            </w14:solidFill>
          </w14:textFill>
        </w:rPr>
      </w:pP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520" w:lineRule="exact"/>
        <w:textAlignment w:val="auto"/>
        <w:rPr>
          <w:rFonts w:ascii="微软雅黑" w:hAnsi="微软雅黑" w:eastAsia="微软雅黑" w:cs="微软雅黑"/>
          <w:color w:val="000000" w:themeColor="text1"/>
          <w:sz w:val="22"/>
          <w:szCs w:val="22"/>
          <w:shd w:val="clear" w:color="auto" w:fill="FFFFFF"/>
          <w14:textFill>
            <w14:solidFill>
              <w14:schemeClr w14:val="tx1"/>
            </w14:solidFill>
          </w14:textFill>
        </w:rPr>
      </w:pP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520" w:lineRule="exact"/>
        <w:textAlignment w:val="auto"/>
        <w:rPr>
          <w:rFonts w:ascii="微软雅黑" w:hAnsi="微软雅黑" w:eastAsia="微软雅黑" w:cs="微软雅黑"/>
          <w:color w:val="000000" w:themeColor="text1"/>
          <w:sz w:val="22"/>
          <w:szCs w:val="22"/>
          <w:shd w:val="clear" w:color="auto" w:fill="FFFFFF"/>
          <w14:textFill>
            <w14:solidFill>
              <w14:schemeClr w14:val="tx1"/>
            </w14:solidFill>
          </w14:textFill>
        </w:rPr>
      </w:pP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520" w:lineRule="exact"/>
        <w:textAlignment w:val="auto"/>
        <w:rPr>
          <w:rFonts w:ascii="微软雅黑" w:hAnsi="微软雅黑" w:eastAsia="微软雅黑" w:cs="微软雅黑"/>
          <w:color w:val="000000" w:themeColor="text1"/>
          <w:sz w:val="22"/>
          <w:szCs w:val="22"/>
          <w:shd w:val="clear" w:color="auto" w:fill="FFFFFF"/>
          <w14:textFill>
            <w14:solidFill>
              <w14:schemeClr w14:val="tx1"/>
            </w14:solidFill>
          </w14:textFill>
        </w:rPr>
      </w:pP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520" w:lineRule="exact"/>
        <w:textAlignment w:val="auto"/>
        <w:rPr>
          <w:rFonts w:ascii="微软雅黑" w:hAnsi="微软雅黑" w:eastAsia="微软雅黑" w:cs="微软雅黑"/>
          <w:color w:val="000000" w:themeColor="text1"/>
          <w:sz w:val="22"/>
          <w:szCs w:val="22"/>
          <w:shd w:val="clear" w:color="auto" w:fill="FFFFFF"/>
          <w14:textFill>
            <w14:solidFill>
              <w14:schemeClr w14:val="tx1"/>
            </w14:solidFill>
          </w14:textFill>
        </w:rPr>
      </w:pP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520" w:lineRule="exact"/>
        <w:textAlignment w:val="auto"/>
        <w:rPr>
          <w:rFonts w:ascii="微软雅黑" w:hAnsi="微软雅黑" w:eastAsia="微软雅黑" w:cs="微软雅黑"/>
          <w:color w:val="000000" w:themeColor="text1"/>
          <w:sz w:val="22"/>
          <w:szCs w:val="22"/>
          <w:shd w:val="clear" w:color="auto" w:fill="FFFFFF"/>
          <w14:textFill>
            <w14:solidFill>
              <w14:schemeClr w14:val="tx1"/>
            </w14:solidFill>
          </w14:textFill>
        </w:rPr>
      </w:pP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520" w:lineRule="exact"/>
        <w:textAlignment w:val="auto"/>
        <w:rPr>
          <w:rFonts w:ascii="微软雅黑" w:hAnsi="微软雅黑" w:eastAsia="微软雅黑" w:cs="微软雅黑"/>
          <w:color w:val="000000" w:themeColor="text1"/>
          <w:sz w:val="22"/>
          <w:szCs w:val="22"/>
          <w:shd w:val="clear" w:color="auto" w:fill="FFFFFF"/>
          <w14:textFill>
            <w14:solidFill>
              <w14:schemeClr w14:val="tx1"/>
            </w14:solidFill>
          </w14:textFill>
        </w:rPr>
      </w:pPr>
    </w:p>
    <w:p>
      <w:pPr>
        <w:pStyle w:val="4"/>
        <w:keepNext w:val="0"/>
        <w:keepLines w:val="0"/>
        <w:pageBreakBefore w:val="0"/>
        <w:numPr>
          <w:ilvl w:val="0"/>
          <w:numId w:val="1"/>
        </w:numPr>
        <w:shd w:val="clear" w:color="auto" w:fill="FFFFFF"/>
        <w:kinsoku/>
        <w:overflowPunct/>
        <w:topLinePunct w:val="0"/>
        <w:autoSpaceDE/>
        <w:autoSpaceDN/>
        <w:bidi w:val="0"/>
        <w:adjustRightInd/>
        <w:snapToGrid/>
        <w:spacing w:before="0" w:beforeAutospacing="0" w:after="0" w:afterAutospacing="0" w:line="520" w:lineRule="exact"/>
        <w:textAlignment w:val="auto"/>
        <w:rPr>
          <w:rFonts w:ascii="黑体" w:eastAsia="黑体" w:cs="黑体"/>
          <w:sz w:val="32"/>
          <w:szCs w:val="32"/>
        </w:rPr>
      </w:pPr>
      <w:r>
        <w:rPr>
          <w:rFonts w:hint="eastAsia" w:ascii="黑体" w:eastAsia="黑体" w:cs="黑体"/>
          <w:sz w:val="32"/>
          <w:szCs w:val="32"/>
        </w:rPr>
        <w:t>收到和处理政府信息公开申请情况</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520" w:lineRule="exact"/>
        <w:textAlignment w:val="auto"/>
        <w:rPr>
          <w:rFonts w:ascii="黑体" w:eastAsia="黑体" w:cs="黑体"/>
          <w:sz w:val="32"/>
          <w:szCs w:val="32"/>
        </w:rPr>
      </w:pPr>
    </w:p>
    <w:tbl>
      <w:tblPr>
        <w:tblStyle w:val="6"/>
        <w:tblW w:w="82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604"/>
        <w:gridCol w:w="2562"/>
        <w:gridCol w:w="514"/>
        <w:gridCol w:w="630"/>
        <w:gridCol w:w="630"/>
        <w:gridCol w:w="630"/>
        <w:gridCol w:w="630"/>
        <w:gridCol w:w="633"/>
        <w:gridCol w:w="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3915" w:type="dxa"/>
            <w:gridSpan w:val="3"/>
            <w:vMerge w:val="restart"/>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both"/>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（本列表的勾稽关系：第一项加第二项之和，等于第三项加第四项之和）</w:t>
            </w:r>
          </w:p>
        </w:tc>
        <w:tc>
          <w:tcPr>
            <w:tcW w:w="4304" w:type="dxa"/>
            <w:gridSpan w:val="7"/>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3915" w:type="dxa"/>
            <w:gridSpan w:val="3"/>
            <w:vMerge w:val="continue"/>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p>
        </w:tc>
        <w:tc>
          <w:tcPr>
            <w:tcW w:w="514" w:type="dxa"/>
            <w:vMerge w:val="restart"/>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自然人</w:t>
            </w:r>
          </w:p>
        </w:tc>
        <w:tc>
          <w:tcPr>
            <w:tcW w:w="3153" w:type="dxa"/>
            <w:gridSpan w:val="5"/>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法人或其他组织</w:t>
            </w:r>
          </w:p>
        </w:tc>
        <w:tc>
          <w:tcPr>
            <w:tcW w:w="637" w:type="dxa"/>
            <w:vMerge w:val="restart"/>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3915" w:type="dxa"/>
            <w:gridSpan w:val="3"/>
            <w:vMerge w:val="continue"/>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p>
        </w:tc>
        <w:tc>
          <w:tcPr>
            <w:tcW w:w="514" w:type="dxa"/>
            <w:vMerge w:val="continue"/>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8"/>
                <w:szCs w:val="18"/>
                <w:shd w:val="clear" w:color="auto" w:fill="FFFFFF"/>
                <w14:textFill>
                  <w14:solidFill>
                    <w14:schemeClr w14:val="tx1"/>
                  </w14:solidFill>
                </w14:textFill>
              </w:rPr>
            </w:pP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商业企业</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科研机构</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社会公益组织</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法律服务机构</w:t>
            </w:r>
          </w:p>
        </w:tc>
        <w:tc>
          <w:tcPr>
            <w:tcW w:w="633"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其他</w:t>
            </w:r>
          </w:p>
        </w:tc>
        <w:tc>
          <w:tcPr>
            <w:tcW w:w="637" w:type="dxa"/>
            <w:vMerge w:val="continue"/>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8"/>
                <w:szCs w:val="18"/>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3915" w:type="dxa"/>
            <w:gridSpan w:val="3"/>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both"/>
              <w:textAlignment w:val="auto"/>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一、本年新收政府信息公开申请数量</w:t>
            </w:r>
          </w:p>
        </w:tc>
        <w:tc>
          <w:tcPr>
            <w:tcW w:w="514"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3"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7"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3915" w:type="dxa"/>
            <w:gridSpan w:val="3"/>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both"/>
              <w:textAlignment w:val="auto"/>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二、上年结转政府信息公开申请数量</w:t>
            </w:r>
          </w:p>
        </w:tc>
        <w:tc>
          <w:tcPr>
            <w:tcW w:w="514"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3"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7"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49" w:type="dxa"/>
            <w:vMerge w:val="restart"/>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both"/>
              <w:textAlignment w:val="auto"/>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三、本年度办理结果</w:t>
            </w:r>
          </w:p>
        </w:tc>
        <w:tc>
          <w:tcPr>
            <w:tcW w:w="3166" w:type="dxa"/>
            <w:gridSpan w:val="2"/>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both"/>
              <w:textAlignment w:val="auto"/>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(一)予以公开</w:t>
            </w:r>
          </w:p>
        </w:tc>
        <w:tc>
          <w:tcPr>
            <w:tcW w:w="514"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3"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7"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49" w:type="dxa"/>
            <w:vMerge w:val="continue"/>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both"/>
              <w:textAlignment w:val="auto"/>
              <w:rPr>
                <w:rStyle w:val="8"/>
                <w:b w:val="0"/>
                <w:bCs/>
                <w:color w:val="000000" w:themeColor="text1"/>
                <w:sz w:val="18"/>
                <w:szCs w:val="18"/>
                <w:shd w:val="clear" w:color="auto" w:fill="FFFFFF"/>
                <w14:textFill>
                  <w14:solidFill>
                    <w14:schemeClr w14:val="tx1"/>
                  </w14:solidFill>
                </w14:textFill>
              </w:rPr>
            </w:pPr>
          </w:p>
        </w:tc>
        <w:tc>
          <w:tcPr>
            <w:tcW w:w="3166" w:type="dxa"/>
            <w:gridSpan w:val="2"/>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both"/>
              <w:textAlignment w:val="auto"/>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(二)部分公开（区分处理的，只计这一情形，不计其他情形）</w:t>
            </w:r>
          </w:p>
        </w:tc>
        <w:tc>
          <w:tcPr>
            <w:tcW w:w="514"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3"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7"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49" w:type="dxa"/>
            <w:vMerge w:val="continue"/>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8"/>
                <w:szCs w:val="18"/>
                <w:shd w:val="clear" w:color="auto" w:fill="FFFFFF"/>
                <w14:textFill>
                  <w14:solidFill>
                    <w14:schemeClr w14:val="tx1"/>
                  </w14:solidFill>
                </w14:textFill>
              </w:rPr>
            </w:pPr>
          </w:p>
        </w:tc>
        <w:tc>
          <w:tcPr>
            <w:tcW w:w="604" w:type="dxa"/>
            <w:vMerge w:val="restart"/>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(三)不予公开</w:t>
            </w:r>
          </w:p>
        </w:tc>
        <w:tc>
          <w:tcPr>
            <w:tcW w:w="2562"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both"/>
              <w:textAlignment w:val="auto"/>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1.属于国家秘密</w:t>
            </w:r>
          </w:p>
        </w:tc>
        <w:tc>
          <w:tcPr>
            <w:tcW w:w="514"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3"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7"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49" w:type="dxa"/>
            <w:vMerge w:val="continue"/>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8"/>
                <w:szCs w:val="18"/>
                <w:shd w:val="clear" w:color="auto" w:fill="FFFFFF"/>
                <w14:textFill>
                  <w14:solidFill>
                    <w14:schemeClr w14:val="tx1"/>
                  </w14:solidFill>
                </w14:textFill>
              </w:rPr>
            </w:pPr>
          </w:p>
        </w:tc>
        <w:tc>
          <w:tcPr>
            <w:tcW w:w="604" w:type="dxa"/>
            <w:vMerge w:val="continue"/>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8"/>
                <w:szCs w:val="18"/>
                <w:shd w:val="clear" w:color="auto" w:fill="FFFFFF"/>
                <w14:textFill>
                  <w14:solidFill>
                    <w14:schemeClr w14:val="tx1"/>
                  </w14:solidFill>
                </w14:textFill>
              </w:rPr>
            </w:pPr>
          </w:p>
        </w:tc>
        <w:tc>
          <w:tcPr>
            <w:tcW w:w="2562"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both"/>
              <w:textAlignment w:val="auto"/>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2.其他法律行政法规禁止公开</w:t>
            </w:r>
          </w:p>
        </w:tc>
        <w:tc>
          <w:tcPr>
            <w:tcW w:w="514"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3"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7"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49" w:type="dxa"/>
            <w:vMerge w:val="continue"/>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8"/>
                <w:szCs w:val="18"/>
                <w:shd w:val="clear" w:color="auto" w:fill="FFFFFF"/>
                <w14:textFill>
                  <w14:solidFill>
                    <w14:schemeClr w14:val="tx1"/>
                  </w14:solidFill>
                </w14:textFill>
              </w:rPr>
            </w:pPr>
          </w:p>
        </w:tc>
        <w:tc>
          <w:tcPr>
            <w:tcW w:w="604" w:type="dxa"/>
            <w:vMerge w:val="continue"/>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8"/>
                <w:szCs w:val="18"/>
                <w:shd w:val="clear" w:color="auto" w:fill="FFFFFF"/>
                <w14:textFill>
                  <w14:solidFill>
                    <w14:schemeClr w14:val="tx1"/>
                  </w14:solidFill>
                </w14:textFill>
              </w:rPr>
            </w:pPr>
          </w:p>
        </w:tc>
        <w:tc>
          <w:tcPr>
            <w:tcW w:w="2562"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both"/>
              <w:textAlignment w:val="auto"/>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3.危及“三安全一稳定”</w:t>
            </w:r>
          </w:p>
        </w:tc>
        <w:tc>
          <w:tcPr>
            <w:tcW w:w="514"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3"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7"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49" w:type="dxa"/>
            <w:vMerge w:val="continue"/>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8"/>
                <w:szCs w:val="18"/>
                <w:shd w:val="clear" w:color="auto" w:fill="FFFFFF"/>
                <w14:textFill>
                  <w14:solidFill>
                    <w14:schemeClr w14:val="tx1"/>
                  </w14:solidFill>
                </w14:textFill>
              </w:rPr>
            </w:pPr>
          </w:p>
        </w:tc>
        <w:tc>
          <w:tcPr>
            <w:tcW w:w="604" w:type="dxa"/>
            <w:vMerge w:val="continue"/>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8"/>
                <w:szCs w:val="18"/>
                <w:shd w:val="clear" w:color="auto" w:fill="FFFFFF"/>
                <w14:textFill>
                  <w14:solidFill>
                    <w14:schemeClr w14:val="tx1"/>
                  </w14:solidFill>
                </w14:textFill>
              </w:rPr>
            </w:pPr>
          </w:p>
        </w:tc>
        <w:tc>
          <w:tcPr>
            <w:tcW w:w="2562"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both"/>
              <w:textAlignment w:val="auto"/>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4.保护第三方合法权益</w:t>
            </w:r>
          </w:p>
        </w:tc>
        <w:tc>
          <w:tcPr>
            <w:tcW w:w="514"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3"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7"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49" w:type="dxa"/>
            <w:vMerge w:val="continue"/>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8"/>
                <w:szCs w:val="18"/>
                <w:shd w:val="clear" w:color="auto" w:fill="FFFFFF"/>
                <w14:textFill>
                  <w14:solidFill>
                    <w14:schemeClr w14:val="tx1"/>
                  </w14:solidFill>
                </w14:textFill>
              </w:rPr>
            </w:pPr>
          </w:p>
        </w:tc>
        <w:tc>
          <w:tcPr>
            <w:tcW w:w="604" w:type="dxa"/>
            <w:vMerge w:val="continue"/>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8"/>
                <w:szCs w:val="18"/>
                <w:shd w:val="clear" w:color="auto" w:fill="FFFFFF"/>
                <w14:textFill>
                  <w14:solidFill>
                    <w14:schemeClr w14:val="tx1"/>
                  </w14:solidFill>
                </w14:textFill>
              </w:rPr>
            </w:pPr>
          </w:p>
        </w:tc>
        <w:tc>
          <w:tcPr>
            <w:tcW w:w="2562"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both"/>
              <w:textAlignment w:val="auto"/>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5.属于三类内部事务信息</w:t>
            </w:r>
          </w:p>
        </w:tc>
        <w:tc>
          <w:tcPr>
            <w:tcW w:w="514"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3"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7"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49" w:type="dxa"/>
            <w:vMerge w:val="continue"/>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8"/>
                <w:szCs w:val="18"/>
                <w:shd w:val="clear" w:color="auto" w:fill="FFFFFF"/>
                <w14:textFill>
                  <w14:solidFill>
                    <w14:schemeClr w14:val="tx1"/>
                  </w14:solidFill>
                </w14:textFill>
              </w:rPr>
            </w:pPr>
          </w:p>
        </w:tc>
        <w:tc>
          <w:tcPr>
            <w:tcW w:w="604" w:type="dxa"/>
            <w:vMerge w:val="continue"/>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8"/>
                <w:szCs w:val="18"/>
                <w:shd w:val="clear" w:color="auto" w:fill="FFFFFF"/>
                <w14:textFill>
                  <w14:solidFill>
                    <w14:schemeClr w14:val="tx1"/>
                  </w14:solidFill>
                </w14:textFill>
              </w:rPr>
            </w:pPr>
          </w:p>
        </w:tc>
        <w:tc>
          <w:tcPr>
            <w:tcW w:w="2562"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both"/>
              <w:textAlignment w:val="auto"/>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6.属于四类过程性信息</w:t>
            </w:r>
          </w:p>
        </w:tc>
        <w:tc>
          <w:tcPr>
            <w:tcW w:w="514"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3"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7"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49" w:type="dxa"/>
            <w:vMerge w:val="continue"/>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8"/>
                <w:szCs w:val="18"/>
                <w:shd w:val="clear" w:color="auto" w:fill="FFFFFF"/>
                <w14:textFill>
                  <w14:solidFill>
                    <w14:schemeClr w14:val="tx1"/>
                  </w14:solidFill>
                </w14:textFill>
              </w:rPr>
            </w:pPr>
          </w:p>
        </w:tc>
        <w:tc>
          <w:tcPr>
            <w:tcW w:w="604" w:type="dxa"/>
            <w:vMerge w:val="continue"/>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8"/>
                <w:szCs w:val="18"/>
                <w:shd w:val="clear" w:color="auto" w:fill="FFFFFF"/>
                <w14:textFill>
                  <w14:solidFill>
                    <w14:schemeClr w14:val="tx1"/>
                  </w14:solidFill>
                </w14:textFill>
              </w:rPr>
            </w:pPr>
          </w:p>
        </w:tc>
        <w:tc>
          <w:tcPr>
            <w:tcW w:w="2562"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both"/>
              <w:textAlignment w:val="auto"/>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7.属于行政执法案卷</w:t>
            </w:r>
          </w:p>
        </w:tc>
        <w:tc>
          <w:tcPr>
            <w:tcW w:w="514"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3"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7"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49" w:type="dxa"/>
            <w:vMerge w:val="continue"/>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8"/>
                <w:szCs w:val="18"/>
                <w:shd w:val="clear" w:color="auto" w:fill="FFFFFF"/>
                <w14:textFill>
                  <w14:solidFill>
                    <w14:schemeClr w14:val="tx1"/>
                  </w14:solidFill>
                </w14:textFill>
              </w:rPr>
            </w:pPr>
          </w:p>
        </w:tc>
        <w:tc>
          <w:tcPr>
            <w:tcW w:w="604" w:type="dxa"/>
            <w:vMerge w:val="continue"/>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8"/>
                <w:szCs w:val="18"/>
                <w:shd w:val="clear" w:color="auto" w:fill="FFFFFF"/>
                <w14:textFill>
                  <w14:solidFill>
                    <w14:schemeClr w14:val="tx1"/>
                  </w14:solidFill>
                </w14:textFill>
              </w:rPr>
            </w:pPr>
          </w:p>
        </w:tc>
        <w:tc>
          <w:tcPr>
            <w:tcW w:w="2562"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both"/>
              <w:textAlignment w:val="auto"/>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8.属于行政查询事项</w:t>
            </w:r>
          </w:p>
        </w:tc>
        <w:tc>
          <w:tcPr>
            <w:tcW w:w="514"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3"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7"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49" w:type="dxa"/>
            <w:vMerge w:val="continue"/>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8"/>
                <w:szCs w:val="18"/>
                <w:shd w:val="clear" w:color="auto" w:fill="FFFFFF"/>
                <w14:textFill>
                  <w14:solidFill>
                    <w14:schemeClr w14:val="tx1"/>
                  </w14:solidFill>
                </w14:textFill>
              </w:rPr>
            </w:pPr>
          </w:p>
        </w:tc>
        <w:tc>
          <w:tcPr>
            <w:tcW w:w="604" w:type="dxa"/>
            <w:vMerge w:val="restart"/>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(四)无法提供</w:t>
            </w:r>
          </w:p>
        </w:tc>
        <w:tc>
          <w:tcPr>
            <w:tcW w:w="2562"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both"/>
              <w:textAlignment w:val="auto"/>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1.本机关不掌握相关政府信息</w:t>
            </w:r>
          </w:p>
        </w:tc>
        <w:tc>
          <w:tcPr>
            <w:tcW w:w="514"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3"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7"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49" w:type="dxa"/>
            <w:vMerge w:val="continue"/>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8"/>
                <w:szCs w:val="18"/>
                <w:shd w:val="clear" w:color="auto" w:fill="FFFFFF"/>
                <w14:textFill>
                  <w14:solidFill>
                    <w14:schemeClr w14:val="tx1"/>
                  </w14:solidFill>
                </w14:textFill>
              </w:rPr>
            </w:pPr>
          </w:p>
        </w:tc>
        <w:tc>
          <w:tcPr>
            <w:tcW w:w="604" w:type="dxa"/>
            <w:vMerge w:val="continue"/>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8"/>
                <w:szCs w:val="18"/>
                <w:shd w:val="clear" w:color="auto" w:fill="FFFFFF"/>
                <w14:textFill>
                  <w14:solidFill>
                    <w14:schemeClr w14:val="tx1"/>
                  </w14:solidFill>
                </w14:textFill>
              </w:rPr>
            </w:pPr>
          </w:p>
        </w:tc>
        <w:tc>
          <w:tcPr>
            <w:tcW w:w="2562"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both"/>
              <w:textAlignment w:val="auto"/>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2.没有现成信息需要另行制作</w:t>
            </w:r>
          </w:p>
        </w:tc>
        <w:tc>
          <w:tcPr>
            <w:tcW w:w="514"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3"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7"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49" w:type="dxa"/>
            <w:vMerge w:val="continue"/>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8"/>
                <w:szCs w:val="18"/>
                <w:shd w:val="clear" w:color="auto" w:fill="FFFFFF"/>
                <w14:textFill>
                  <w14:solidFill>
                    <w14:schemeClr w14:val="tx1"/>
                  </w14:solidFill>
                </w14:textFill>
              </w:rPr>
            </w:pPr>
          </w:p>
        </w:tc>
        <w:tc>
          <w:tcPr>
            <w:tcW w:w="604" w:type="dxa"/>
            <w:vMerge w:val="continue"/>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8"/>
                <w:szCs w:val="18"/>
                <w:shd w:val="clear" w:color="auto" w:fill="FFFFFF"/>
                <w14:textFill>
                  <w14:solidFill>
                    <w14:schemeClr w14:val="tx1"/>
                  </w14:solidFill>
                </w14:textFill>
              </w:rPr>
            </w:pPr>
          </w:p>
        </w:tc>
        <w:tc>
          <w:tcPr>
            <w:tcW w:w="2562"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both"/>
              <w:textAlignment w:val="auto"/>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3.补正后申请内容仍不明确</w:t>
            </w:r>
          </w:p>
        </w:tc>
        <w:tc>
          <w:tcPr>
            <w:tcW w:w="514"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3"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7"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49" w:type="dxa"/>
            <w:vMerge w:val="continue"/>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8"/>
                <w:szCs w:val="18"/>
                <w:shd w:val="clear" w:color="auto" w:fill="FFFFFF"/>
                <w14:textFill>
                  <w14:solidFill>
                    <w14:schemeClr w14:val="tx1"/>
                  </w14:solidFill>
                </w14:textFill>
              </w:rPr>
            </w:pPr>
          </w:p>
        </w:tc>
        <w:tc>
          <w:tcPr>
            <w:tcW w:w="604" w:type="dxa"/>
            <w:vMerge w:val="restart"/>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(五)不予公开</w:t>
            </w:r>
          </w:p>
        </w:tc>
        <w:tc>
          <w:tcPr>
            <w:tcW w:w="2562"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both"/>
              <w:textAlignment w:val="auto"/>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1.信访举报投诉类申请</w:t>
            </w:r>
          </w:p>
        </w:tc>
        <w:tc>
          <w:tcPr>
            <w:tcW w:w="514"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3"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7"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49" w:type="dxa"/>
            <w:vMerge w:val="continue"/>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8"/>
                <w:szCs w:val="18"/>
                <w:shd w:val="clear" w:color="auto" w:fill="FFFFFF"/>
                <w14:textFill>
                  <w14:solidFill>
                    <w14:schemeClr w14:val="tx1"/>
                  </w14:solidFill>
                </w14:textFill>
              </w:rPr>
            </w:pPr>
          </w:p>
        </w:tc>
        <w:tc>
          <w:tcPr>
            <w:tcW w:w="604" w:type="dxa"/>
            <w:vMerge w:val="continue"/>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8"/>
                <w:szCs w:val="18"/>
                <w:shd w:val="clear" w:color="auto" w:fill="FFFFFF"/>
                <w14:textFill>
                  <w14:solidFill>
                    <w14:schemeClr w14:val="tx1"/>
                  </w14:solidFill>
                </w14:textFill>
              </w:rPr>
            </w:pPr>
          </w:p>
        </w:tc>
        <w:tc>
          <w:tcPr>
            <w:tcW w:w="2562"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both"/>
              <w:textAlignment w:val="auto"/>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2.重复申请</w:t>
            </w:r>
          </w:p>
        </w:tc>
        <w:tc>
          <w:tcPr>
            <w:tcW w:w="514"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3"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7"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49" w:type="dxa"/>
            <w:vMerge w:val="continue"/>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8"/>
                <w:szCs w:val="18"/>
                <w:shd w:val="clear" w:color="auto" w:fill="FFFFFF"/>
                <w14:textFill>
                  <w14:solidFill>
                    <w14:schemeClr w14:val="tx1"/>
                  </w14:solidFill>
                </w14:textFill>
              </w:rPr>
            </w:pPr>
          </w:p>
        </w:tc>
        <w:tc>
          <w:tcPr>
            <w:tcW w:w="604" w:type="dxa"/>
            <w:vMerge w:val="continue"/>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8"/>
                <w:szCs w:val="18"/>
                <w:shd w:val="clear" w:color="auto" w:fill="FFFFFF"/>
                <w14:textFill>
                  <w14:solidFill>
                    <w14:schemeClr w14:val="tx1"/>
                  </w14:solidFill>
                </w14:textFill>
              </w:rPr>
            </w:pPr>
          </w:p>
        </w:tc>
        <w:tc>
          <w:tcPr>
            <w:tcW w:w="2562"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both"/>
              <w:textAlignment w:val="auto"/>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3.要求提供公开出版物</w:t>
            </w:r>
          </w:p>
        </w:tc>
        <w:tc>
          <w:tcPr>
            <w:tcW w:w="514"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3"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7"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49" w:type="dxa"/>
            <w:vMerge w:val="continue"/>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8"/>
                <w:szCs w:val="18"/>
                <w:shd w:val="clear" w:color="auto" w:fill="FFFFFF"/>
                <w14:textFill>
                  <w14:solidFill>
                    <w14:schemeClr w14:val="tx1"/>
                  </w14:solidFill>
                </w14:textFill>
              </w:rPr>
            </w:pPr>
          </w:p>
        </w:tc>
        <w:tc>
          <w:tcPr>
            <w:tcW w:w="604" w:type="dxa"/>
            <w:vMerge w:val="continue"/>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8"/>
                <w:szCs w:val="18"/>
                <w:shd w:val="clear" w:color="auto" w:fill="FFFFFF"/>
                <w14:textFill>
                  <w14:solidFill>
                    <w14:schemeClr w14:val="tx1"/>
                  </w14:solidFill>
                </w14:textFill>
              </w:rPr>
            </w:pPr>
          </w:p>
        </w:tc>
        <w:tc>
          <w:tcPr>
            <w:tcW w:w="2562"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both"/>
              <w:textAlignment w:val="auto"/>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4.无正当理由大量反复申请</w:t>
            </w:r>
          </w:p>
        </w:tc>
        <w:tc>
          <w:tcPr>
            <w:tcW w:w="514"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3"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7"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49" w:type="dxa"/>
            <w:vMerge w:val="continue"/>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8"/>
                <w:szCs w:val="18"/>
                <w:shd w:val="clear" w:color="auto" w:fill="FFFFFF"/>
                <w14:textFill>
                  <w14:solidFill>
                    <w14:schemeClr w14:val="tx1"/>
                  </w14:solidFill>
                </w14:textFill>
              </w:rPr>
            </w:pPr>
          </w:p>
        </w:tc>
        <w:tc>
          <w:tcPr>
            <w:tcW w:w="604" w:type="dxa"/>
            <w:vMerge w:val="continue"/>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8"/>
                <w:szCs w:val="18"/>
                <w:shd w:val="clear" w:color="auto" w:fill="FFFFFF"/>
                <w14:textFill>
                  <w14:solidFill>
                    <w14:schemeClr w14:val="tx1"/>
                  </w14:solidFill>
                </w14:textFill>
              </w:rPr>
            </w:pPr>
          </w:p>
        </w:tc>
        <w:tc>
          <w:tcPr>
            <w:tcW w:w="2562"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both"/>
              <w:textAlignment w:val="auto"/>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5.要求行政机关确认或新出具已获取信息</w:t>
            </w:r>
          </w:p>
        </w:tc>
        <w:tc>
          <w:tcPr>
            <w:tcW w:w="514"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3"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7"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749" w:type="dxa"/>
            <w:vMerge w:val="continue"/>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8"/>
                <w:szCs w:val="18"/>
                <w:shd w:val="clear" w:color="auto" w:fill="FFFFFF"/>
                <w14:textFill>
                  <w14:solidFill>
                    <w14:schemeClr w14:val="tx1"/>
                  </w14:solidFill>
                </w14:textFill>
              </w:rPr>
            </w:pPr>
          </w:p>
        </w:tc>
        <w:tc>
          <w:tcPr>
            <w:tcW w:w="604" w:type="dxa"/>
            <w:vMerge w:val="restart"/>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(六)其他处理</w:t>
            </w:r>
          </w:p>
        </w:tc>
        <w:tc>
          <w:tcPr>
            <w:tcW w:w="2562"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both"/>
              <w:textAlignment w:val="auto"/>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1.申请人无正当理由逾期不补正、行政机关不再处理其政府信息公开申请</w:t>
            </w:r>
          </w:p>
        </w:tc>
        <w:tc>
          <w:tcPr>
            <w:tcW w:w="514"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3"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7"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749" w:type="dxa"/>
            <w:vMerge w:val="continue"/>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8"/>
                <w:szCs w:val="18"/>
                <w:shd w:val="clear" w:color="auto" w:fill="FFFFFF"/>
                <w14:textFill>
                  <w14:solidFill>
                    <w14:schemeClr w14:val="tx1"/>
                  </w14:solidFill>
                </w14:textFill>
              </w:rPr>
            </w:pPr>
          </w:p>
        </w:tc>
        <w:tc>
          <w:tcPr>
            <w:tcW w:w="604" w:type="dxa"/>
            <w:vMerge w:val="continue"/>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8"/>
                <w:szCs w:val="18"/>
                <w:shd w:val="clear" w:color="auto" w:fill="FFFFFF"/>
                <w14:textFill>
                  <w14:solidFill>
                    <w14:schemeClr w14:val="tx1"/>
                  </w14:solidFill>
                </w14:textFill>
              </w:rPr>
            </w:pPr>
          </w:p>
        </w:tc>
        <w:tc>
          <w:tcPr>
            <w:tcW w:w="2562"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both"/>
              <w:textAlignment w:val="auto"/>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2.申请人逾期未按收费通知要求缴纳费用、行政机关不再处理其政府信息公开申请</w:t>
            </w:r>
          </w:p>
        </w:tc>
        <w:tc>
          <w:tcPr>
            <w:tcW w:w="514"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3"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7"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49" w:type="dxa"/>
            <w:vMerge w:val="continue"/>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8"/>
                <w:szCs w:val="18"/>
                <w:shd w:val="clear" w:color="auto" w:fill="FFFFFF"/>
                <w14:textFill>
                  <w14:solidFill>
                    <w14:schemeClr w14:val="tx1"/>
                  </w14:solidFill>
                </w14:textFill>
              </w:rPr>
            </w:pPr>
          </w:p>
        </w:tc>
        <w:tc>
          <w:tcPr>
            <w:tcW w:w="604" w:type="dxa"/>
            <w:vMerge w:val="continue"/>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8"/>
                <w:szCs w:val="18"/>
                <w:shd w:val="clear" w:color="auto" w:fill="FFFFFF"/>
                <w14:textFill>
                  <w14:solidFill>
                    <w14:schemeClr w14:val="tx1"/>
                  </w14:solidFill>
                </w14:textFill>
              </w:rPr>
            </w:pPr>
          </w:p>
        </w:tc>
        <w:tc>
          <w:tcPr>
            <w:tcW w:w="2562"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both"/>
              <w:textAlignment w:val="auto"/>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3.其他</w:t>
            </w:r>
          </w:p>
        </w:tc>
        <w:tc>
          <w:tcPr>
            <w:tcW w:w="514"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3"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7"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49" w:type="dxa"/>
            <w:vMerge w:val="continue"/>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8"/>
                <w:szCs w:val="18"/>
                <w:shd w:val="clear" w:color="auto" w:fill="FFFFFF"/>
                <w14:textFill>
                  <w14:solidFill>
                    <w14:schemeClr w14:val="tx1"/>
                  </w14:solidFill>
                </w14:textFill>
              </w:rPr>
            </w:pPr>
          </w:p>
        </w:tc>
        <w:tc>
          <w:tcPr>
            <w:tcW w:w="3166" w:type="dxa"/>
            <w:gridSpan w:val="2"/>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both"/>
              <w:textAlignment w:val="auto"/>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(七)总计</w:t>
            </w:r>
          </w:p>
        </w:tc>
        <w:tc>
          <w:tcPr>
            <w:tcW w:w="514"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hint="eastAsia" w:ascii="仿宋" w:hAnsi="仿宋" w:eastAsia="仿宋" w:cs="仿宋"/>
                <w:b w:val="0"/>
                <w:bCs/>
                <w:color w:val="000000" w:themeColor="text1"/>
                <w:sz w:val="18"/>
                <w:szCs w:val="18"/>
                <w:shd w:val="clear" w:color="auto" w:fill="FFFFFF"/>
                <w:lang w:eastAsia="zh-CN"/>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3"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7"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hint="eastAsia" w:ascii="仿宋" w:hAnsi="仿宋" w:eastAsia="仿宋" w:cs="仿宋"/>
                <w:b w:val="0"/>
                <w:bCs/>
                <w:color w:val="000000" w:themeColor="text1"/>
                <w:sz w:val="18"/>
                <w:szCs w:val="18"/>
                <w:shd w:val="clear" w:color="auto" w:fill="FFFFFF"/>
                <w:lang w:eastAsia="zh-CN"/>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3915" w:type="dxa"/>
            <w:gridSpan w:val="3"/>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both"/>
              <w:textAlignment w:val="auto"/>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四、结转下年度继续办理</w:t>
            </w:r>
          </w:p>
        </w:tc>
        <w:tc>
          <w:tcPr>
            <w:tcW w:w="514"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0"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3"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37"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bl>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520" w:lineRule="exact"/>
        <w:textAlignment w:val="auto"/>
        <w:rPr>
          <w:rStyle w:val="8"/>
          <w:rFonts w:ascii="仿宋" w:hAnsi="仿宋" w:eastAsia="仿宋" w:cs="仿宋"/>
          <w:b w:val="0"/>
          <w:bCs/>
          <w:color w:val="000000" w:themeColor="text1"/>
          <w:sz w:val="18"/>
          <w:szCs w:val="18"/>
          <w:shd w:val="clear" w:color="auto" w:fill="FFFFFF"/>
          <w14:textFill>
            <w14:solidFill>
              <w14:schemeClr w14:val="tx1"/>
            </w14:solidFill>
          </w14:textFill>
        </w:rPr>
      </w:pP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520" w:lineRule="exact"/>
        <w:textAlignment w:val="auto"/>
        <w:rPr>
          <w:rStyle w:val="8"/>
          <w:rFonts w:ascii="黑体" w:hAnsi="黑体" w:eastAsia="黑体" w:cs="黑体"/>
          <w:b w:val="0"/>
          <w:bCs/>
          <w:color w:val="000000" w:themeColor="text1"/>
          <w:sz w:val="28"/>
          <w:szCs w:val="28"/>
          <w:shd w:val="clear" w:color="auto" w:fill="FFFFFF"/>
          <w14:textFill>
            <w14:solidFill>
              <w14:schemeClr w14:val="tx1"/>
            </w14:solidFill>
          </w14:textFill>
        </w:rPr>
      </w:pPr>
      <w:r>
        <w:rPr>
          <w:rFonts w:hint="eastAsia" w:ascii="微软雅黑" w:hAnsi="微软雅黑" w:eastAsia="微软雅黑" w:cs="微软雅黑"/>
          <w:color w:val="000000" w:themeColor="text1"/>
          <w:sz w:val="22"/>
          <w:szCs w:val="22"/>
          <w:shd w:val="clear" w:color="auto" w:fill="FFFFFF"/>
          <w14:textFill>
            <w14:solidFill>
              <w14:schemeClr w14:val="tx1"/>
            </w14:solidFill>
          </w14:textFill>
        </w:rPr>
        <w:t>　</w:t>
      </w:r>
      <w:r>
        <w:rPr>
          <w:rFonts w:hint="eastAsia" w:ascii="黑体" w:eastAsia="黑体" w:cs="黑体"/>
          <w:sz w:val="30"/>
          <w:szCs w:val="30"/>
        </w:rPr>
        <w:t>　四、政府信息公开行政复议、行政诉讼情况</w:t>
      </w:r>
    </w:p>
    <w:tbl>
      <w:tblPr>
        <w:tblStyle w:val="6"/>
        <w:tblW w:w="8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551"/>
        <w:gridCol w:w="551"/>
        <w:gridCol w:w="551"/>
        <w:gridCol w:w="561"/>
        <w:gridCol w:w="551"/>
        <w:gridCol w:w="551"/>
        <w:gridCol w:w="551"/>
        <w:gridCol w:w="551"/>
        <w:gridCol w:w="561"/>
        <w:gridCol w:w="551"/>
        <w:gridCol w:w="551"/>
        <w:gridCol w:w="551"/>
        <w:gridCol w:w="552"/>
        <w:gridCol w:w="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765" w:type="dxa"/>
            <w:gridSpan w:val="5"/>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行政复议</w:t>
            </w:r>
          </w:p>
        </w:tc>
        <w:tc>
          <w:tcPr>
            <w:tcW w:w="5534" w:type="dxa"/>
            <w:gridSpan w:val="10"/>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51" w:type="dxa"/>
            <w:vMerge w:val="restart"/>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结果</w:t>
            </w:r>
          </w:p>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维持</w:t>
            </w:r>
          </w:p>
        </w:tc>
        <w:tc>
          <w:tcPr>
            <w:tcW w:w="551" w:type="dxa"/>
            <w:vMerge w:val="restart"/>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结果</w:t>
            </w:r>
          </w:p>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纠正</w:t>
            </w:r>
          </w:p>
        </w:tc>
        <w:tc>
          <w:tcPr>
            <w:tcW w:w="551" w:type="dxa"/>
            <w:vMerge w:val="restart"/>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其他</w:t>
            </w:r>
          </w:p>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结果</w:t>
            </w:r>
          </w:p>
        </w:tc>
        <w:tc>
          <w:tcPr>
            <w:tcW w:w="551" w:type="dxa"/>
            <w:vMerge w:val="restart"/>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尚未</w:t>
            </w:r>
          </w:p>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审结</w:t>
            </w:r>
          </w:p>
        </w:tc>
        <w:tc>
          <w:tcPr>
            <w:tcW w:w="561" w:type="dxa"/>
            <w:vMerge w:val="restart"/>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总计</w:t>
            </w:r>
          </w:p>
        </w:tc>
        <w:tc>
          <w:tcPr>
            <w:tcW w:w="2765" w:type="dxa"/>
            <w:gridSpan w:val="5"/>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未经复议直接起诉</w:t>
            </w:r>
          </w:p>
        </w:tc>
        <w:tc>
          <w:tcPr>
            <w:tcW w:w="2769" w:type="dxa"/>
            <w:gridSpan w:val="5"/>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551" w:type="dxa"/>
            <w:vMerge w:val="continue"/>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5"/>
                <w:szCs w:val="15"/>
                <w:shd w:val="clear" w:color="auto" w:fill="FFFFFF"/>
                <w14:textFill>
                  <w14:solidFill>
                    <w14:schemeClr w14:val="tx1"/>
                  </w14:solidFill>
                </w14:textFill>
              </w:rPr>
            </w:pPr>
          </w:p>
        </w:tc>
        <w:tc>
          <w:tcPr>
            <w:tcW w:w="551" w:type="dxa"/>
            <w:vMerge w:val="continue"/>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5"/>
                <w:szCs w:val="15"/>
                <w:shd w:val="clear" w:color="auto" w:fill="FFFFFF"/>
                <w14:textFill>
                  <w14:solidFill>
                    <w14:schemeClr w14:val="tx1"/>
                  </w14:solidFill>
                </w14:textFill>
              </w:rPr>
            </w:pPr>
          </w:p>
        </w:tc>
        <w:tc>
          <w:tcPr>
            <w:tcW w:w="551" w:type="dxa"/>
            <w:vMerge w:val="continue"/>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5"/>
                <w:szCs w:val="15"/>
                <w:shd w:val="clear" w:color="auto" w:fill="FFFFFF"/>
                <w14:textFill>
                  <w14:solidFill>
                    <w14:schemeClr w14:val="tx1"/>
                  </w14:solidFill>
                </w14:textFill>
              </w:rPr>
            </w:pPr>
          </w:p>
        </w:tc>
        <w:tc>
          <w:tcPr>
            <w:tcW w:w="551" w:type="dxa"/>
            <w:vMerge w:val="continue"/>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5"/>
                <w:szCs w:val="15"/>
                <w:shd w:val="clear" w:color="auto" w:fill="FFFFFF"/>
                <w14:textFill>
                  <w14:solidFill>
                    <w14:schemeClr w14:val="tx1"/>
                  </w14:solidFill>
                </w14:textFill>
              </w:rPr>
            </w:pPr>
          </w:p>
        </w:tc>
        <w:tc>
          <w:tcPr>
            <w:tcW w:w="561" w:type="dxa"/>
            <w:vMerge w:val="continue"/>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5"/>
                <w:szCs w:val="15"/>
                <w:shd w:val="clear" w:color="auto" w:fill="FFFFFF"/>
                <w14:textFill>
                  <w14:solidFill>
                    <w14:schemeClr w14:val="tx1"/>
                  </w14:solidFill>
                </w14:textFill>
              </w:rPr>
            </w:pPr>
          </w:p>
        </w:tc>
        <w:tc>
          <w:tcPr>
            <w:tcW w:w="551"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结果</w:t>
            </w:r>
          </w:p>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bCs/>
                <w:color w:val="000000" w:themeColor="text1"/>
                <w:sz w:val="15"/>
                <w:szCs w:val="15"/>
                <w:shd w:val="clear" w:color="auto" w:fill="FFFFFF"/>
                <w:lang w:bidi="ar"/>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维持</w:t>
            </w:r>
          </w:p>
        </w:tc>
        <w:tc>
          <w:tcPr>
            <w:tcW w:w="551"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结果</w:t>
            </w:r>
          </w:p>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bCs/>
                <w:color w:val="000000" w:themeColor="text1"/>
                <w:sz w:val="15"/>
                <w:szCs w:val="15"/>
                <w:shd w:val="clear" w:color="auto" w:fill="FFFFFF"/>
                <w:lang w:bidi="ar"/>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纠正</w:t>
            </w:r>
          </w:p>
        </w:tc>
        <w:tc>
          <w:tcPr>
            <w:tcW w:w="551"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其他</w:t>
            </w:r>
          </w:p>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bCs/>
                <w:color w:val="000000" w:themeColor="text1"/>
                <w:sz w:val="15"/>
                <w:szCs w:val="15"/>
                <w:shd w:val="clear" w:color="auto" w:fill="FFFFFF"/>
                <w:lang w:bidi="ar"/>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结果</w:t>
            </w:r>
          </w:p>
        </w:tc>
        <w:tc>
          <w:tcPr>
            <w:tcW w:w="551"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尚未</w:t>
            </w:r>
          </w:p>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bCs/>
                <w:color w:val="000000" w:themeColor="text1"/>
                <w:sz w:val="15"/>
                <w:szCs w:val="15"/>
                <w:shd w:val="clear" w:color="auto" w:fill="FFFFFF"/>
                <w:lang w:bidi="ar"/>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审结</w:t>
            </w:r>
          </w:p>
        </w:tc>
        <w:tc>
          <w:tcPr>
            <w:tcW w:w="561"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bCs/>
                <w:color w:val="000000" w:themeColor="text1"/>
                <w:sz w:val="15"/>
                <w:szCs w:val="15"/>
                <w:shd w:val="clear" w:color="auto" w:fill="FFFFFF"/>
                <w:lang w:bidi="ar"/>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总计</w:t>
            </w:r>
          </w:p>
        </w:tc>
        <w:tc>
          <w:tcPr>
            <w:tcW w:w="551"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结果</w:t>
            </w:r>
          </w:p>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bCs/>
                <w:color w:val="000000" w:themeColor="text1"/>
                <w:sz w:val="15"/>
                <w:szCs w:val="15"/>
                <w:shd w:val="clear" w:color="auto" w:fill="FFFFFF"/>
                <w:lang w:bidi="ar"/>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维持</w:t>
            </w:r>
          </w:p>
        </w:tc>
        <w:tc>
          <w:tcPr>
            <w:tcW w:w="551"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结果</w:t>
            </w:r>
          </w:p>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bCs/>
                <w:color w:val="000000" w:themeColor="text1"/>
                <w:sz w:val="15"/>
                <w:szCs w:val="15"/>
                <w:shd w:val="clear" w:color="auto" w:fill="FFFFFF"/>
                <w:lang w:bidi="ar"/>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纠正</w:t>
            </w:r>
          </w:p>
        </w:tc>
        <w:tc>
          <w:tcPr>
            <w:tcW w:w="551"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其他</w:t>
            </w:r>
          </w:p>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bCs/>
                <w:color w:val="000000" w:themeColor="text1"/>
                <w:sz w:val="15"/>
                <w:szCs w:val="15"/>
                <w:shd w:val="clear" w:color="auto" w:fill="FFFFFF"/>
                <w:lang w:bidi="ar"/>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结果</w:t>
            </w:r>
          </w:p>
        </w:tc>
        <w:tc>
          <w:tcPr>
            <w:tcW w:w="552"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尚未</w:t>
            </w:r>
          </w:p>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bCs/>
                <w:color w:val="000000" w:themeColor="text1"/>
                <w:sz w:val="15"/>
                <w:szCs w:val="15"/>
                <w:shd w:val="clear" w:color="auto" w:fill="FFFFFF"/>
                <w:lang w:bidi="ar"/>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审结</w:t>
            </w:r>
          </w:p>
        </w:tc>
        <w:tc>
          <w:tcPr>
            <w:tcW w:w="564" w:type="dxa"/>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center"/>
              <w:textAlignment w:val="auto"/>
              <w:rPr>
                <w:bCs/>
                <w:color w:val="000000" w:themeColor="text1"/>
                <w:sz w:val="15"/>
                <w:szCs w:val="15"/>
                <w:shd w:val="clear" w:color="auto" w:fill="FFFFFF"/>
                <w:lang w:bidi="ar"/>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551" w:type="dxa"/>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both"/>
              <w:textAlignment w:val="auto"/>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0</w:t>
            </w:r>
          </w:p>
        </w:tc>
        <w:tc>
          <w:tcPr>
            <w:tcW w:w="551" w:type="dxa"/>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both"/>
              <w:textAlignment w:val="auto"/>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0</w:t>
            </w:r>
          </w:p>
        </w:tc>
        <w:tc>
          <w:tcPr>
            <w:tcW w:w="551" w:type="dxa"/>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both"/>
              <w:textAlignment w:val="auto"/>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0</w:t>
            </w:r>
          </w:p>
        </w:tc>
        <w:tc>
          <w:tcPr>
            <w:tcW w:w="551" w:type="dxa"/>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both"/>
              <w:textAlignment w:val="auto"/>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0</w:t>
            </w:r>
          </w:p>
        </w:tc>
        <w:tc>
          <w:tcPr>
            <w:tcW w:w="561" w:type="dxa"/>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both"/>
              <w:textAlignment w:val="auto"/>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0</w:t>
            </w:r>
          </w:p>
        </w:tc>
        <w:tc>
          <w:tcPr>
            <w:tcW w:w="551" w:type="dxa"/>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both"/>
              <w:textAlignment w:val="auto"/>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0</w:t>
            </w:r>
          </w:p>
        </w:tc>
        <w:tc>
          <w:tcPr>
            <w:tcW w:w="551" w:type="dxa"/>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both"/>
              <w:textAlignment w:val="auto"/>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0</w:t>
            </w:r>
          </w:p>
        </w:tc>
        <w:tc>
          <w:tcPr>
            <w:tcW w:w="551" w:type="dxa"/>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both"/>
              <w:textAlignment w:val="auto"/>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0</w:t>
            </w:r>
          </w:p>
        </w:tc>
        <w:tc>
          <w:tcPr>
            <w:tcW w:w="551" w:type="dxa"/>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both"/>
              <w:textAlignment w:val="auto"/>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0</w:t>
            </w:r>
          </w:p>
        </w:tc>
        <w:tc>
          <w:tcPr>
            <w:tcW w:w="561" w:type="dxa"/>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both"/>
              <w:textAlignment w:val="auto"/>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0</w:t>
            </w:r>
          </w:p>
        </w:tc>
        <w:tc>
          <w:tcPr>
            <w:tcW w:w="551" w:type="dxa"/>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both"/>
              <w:textAlignment w:val="auto"/>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0</w:t>
            </w:r>
          </w:p>
        </w:tc>
        <w:tc>
          <w:tcPr>
            <w:tcW w:w="551" w:type="dxa"/>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both"/>
              <w:textAlignment w:val="auto"/>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0</w:t>
            </w:r>
          </w:p>
        </w:tc>
        <w:tc>
          <w:tcPr>
            <w:tcW w:w="551" w:type="dxa"/>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both"/>
              <w:textAlignment w:val="auto"/>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0</w:t>
            </w:r>
          </w:p>
        </w:tc>
        <w:tc>
          <w:tcPr>
            <w:tcW w:w="552" w:type="dxa"/>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both"/>
              <w:textAlignment w:val="auto"/>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0</w:t>
            </w:r>
          </w:p>
        </w:tc>
        <w:tc>
          <w:tcPr>
            <w:tcW w:w="564" w:type="dxa"/>
          </w:tcPr>
          <w:p>
            <w:pPr>
              <w:pStyle w:val="4"/>
              <w:keepNext w:val="0"/>
              <w:keepLines w:val="0"/>
              <w:pageBreakBefore w:val="0"/>
              <w:kinsoku/>
              <w:overflowPunct/>
              <w:topLinePunct w:val="0"/>
              <w:autoSpaceDE/>
              <w:autoSpaceDN/>
              <w:bidi w:val="0"/>
              <w:adjustRightInd/>
              <w:snapToGrid/>
              <w:spacing w:before="0" w:beforeAutospacing="0" w:after="0" w:afterAutospacing="0" w:line="520" w:lineRule="exact"/>
              <w:jc w:val="both"/>
              <w:textAlignment w:val="auto"/>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0</w:t>
            </w:r>
          </w:p>
        </w:tc>
      </w:tr>
    </w:tbl>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520" w:lineRule="exact"/>
        <w:textAlignment w:val="auto"/>
        <w:rPr>
          <w:rFonts w:hint="eastAsia" w:ascii="黑体" w:eastAsia="黑体" w:cs="黑体"/>
          <w:sz w:val="30"/>
          <w:szCs w:val="30"/>
        </w:rPr>
      </w:pPr>
      <w:r>
        <w:rPr>
          <w:rFonts w:hint="eastAsia" w:ascii="黑体" w:eastAsia="黑体" w:cs="黑体"/>
          <w:sz w:val="30"/>
          <w:szCs w:val="30"/>
        </w:rPr>
        <w:t>　</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520" w:lineRule="exact"/>
        <w:textAlignment w:val="auto"/>
        <w:rPr>
          <w:rFonts w:hint="eastAsia" w:ascii="黑体" w:eastAsia="黑体" w:cs="黑体"/>
          <w:sz w:val="30"/>
          <w:szCs w:val="30"/>
        </w:rPr>
      </w:pP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520" w:lineRule="exact"/>
        <w:textAlignment w:val="auto"/>
        <w:rPr>
          <w:rFonts w:ascii="黑体" w:eastAsia="黑体" w:cs="黑体"/>
          <w:sz w:val="30"/>
          <w:szCs w:val="30"/>
        </w:rPr>
      </w:pPr>
      <w:r>
        <w:rPr>
          <w:rFonts w:hint="eastAsia" w:ascii="黑体" w:eastAsia="黑体" w:cs="黑体"/>
          <w:sz w:val="30"/>
          <w:szCs w:val="30"/>
        </w:rPr>
        <w:t>　五、存在的主要问题及改进情况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645"/>
        <w:jc w:val="both"/>
        <w:rPr>
          <w:rFonts w:ascii="Calibri" w:hAnsi="Calibri" w:cs="Calibri"/>
          <w:i w:val="0"/>
          <w:iCs w:val="0"/>
          <w:caps w:val="0"/>
          <w:color w:val="000000"/>
          <w:spacing w:val="0"/>
          <w:sz w:val="24"/>
          <w:szCs w:val="24"/>
        </w:rPr>
      </w:pPr>
      <w:r>
        <w:rPr>
          <w:rFonts w:ascii="仿宋" w:hAnsi="仿宋" w:eastAsia="仿宋" w:cs="仿宋"/>
          <w:b/>
          <w:bCs/>
          <w:i w:val="0"/>
          <w:iCs w:val="0"/>
          <w:caps w:val="0"/>
          <w:color w:val="000000"/>
          <w:spacing w:val="0"/>
          <w:sz w:val="32"/>
          <w:szCs w:val="32"/>
          <w:bdr w:val="none" w:color="auto" w:sz="0" w:space="0"/>
          <w:shd w:val="clear" w:fill="FFFFFF"/>
        </w:rPr>
        <w:t>（一）存在问题。</w:t>
      </w:r>
      <w:r>
        <w:rPr>
          <w:rFonts w:hint="eastAsia" w:ascii="仿宋" w:hAnsi="仿宋" w:eastAsia="仿宋" w:cs="仿宋"/>
          <w:i w:val="0"/>
          <w:iCs w:val="0"/>
          <w:caps w:val="0"/>
          <w:color w:val="000000"/>
          <w:spacing w:val="0"/>
          <w:sz w:val="32"/>
          <w:szCs w:val="32"/>
          <w:bdr w:val="none" w:color="auto" w:sz="0" w:space="0"/>
          <w:shd w:val="clear" w:fill="FFFFFF"/>
        </w:rPr>
        <w:t>我镇政务公开政府信息公开工作虽然取得了一些成绩，但仍存在一些问题。</w:t>
      </w:r>
      <w:r>
        <w:rPr>
          <w:rFonts w:hint="eastAsia" w:ascii="仿宋" w:hAnsi="仿宋" w:eastAsia="仿宋" w:cs="仿宋"/>
          <w:b/>
          <w:bCs/>
          <w:i w:val="0"/>
          <w:iCs w:val="0"/>
          <w:caps w:val="0"/>
          <w:color w:val="000000"/>
          <w:spacing w:val="0"/>
          <w:sz w:val="31"/>
          <w:szCs w:val="31"/>
          <w:bdr w:val="none" w:color="auto" w:sz="0" w:space="0"/>
          <w:shd w:val="clear" w:fill="FFFFFF"/>
        </w:rPr>
        <w:t>一是内容不够丰富。</w:t>
      </w:r>
      <w:r>
        <w:rPr>
          <w:rFonts w:hint="eastAsia" w:ascii="仿宋" w:hAnsi="仿宋" w:eastAsia="仿宋" w:cs="仿宋"/>
          <w:i w:val="0"/>
          <w:iCs w:val="0"/>
          <w:caps w:val="0"/>
          <w:color w:val="000000"/>
          <w:spacing w:val="0"/>
          <w:sz w:val="31"/>
          <w:szCs w:val="31"/>
          <w:bdr w:val="none" w:color="auto" w:sz="0" w:space="0"/>
          <w:shd w:val="clear" w:fill="FFFFFF"/>
        </w:rPr>
        <w:t>主要局限于上级要求公开的内容，网络信息的公开制度仍然不够完善。</w:t>
      </w:r>
      <w:r>
        <w:rPr>
          <w:rFonts w:hint="eastAsia" w:ascii="仿宋" w:hAnsi="仿宋" w:eastAsia="仿宋" w:cs="仿宋"/>
          <w:b/>
          <w:bCs/>
          <w:i w:val="0"/>
          <w:iCs w:val="0"/>
          <w:caps w:val="0"/>
          <w:color w:val="000000"/>
          <w:spacing w:val="0"/>
          <w:sz w:val="31"/>
          <w:szCs w:val="31"/>
          <w:bdr w:val="none" w:color="auto" w:sz="0" w:space="0"/>
          <w:shd w:val="clear" w:fill="FFFFFF"/>
        </w:rPr>
        <w:t>二是宣传不够到位。</w:t>
      </w:r>
      <w:r>
        <w:rPr>
          <w:rFonts w:hint="eastAsia" w:ascii="仿宋" w:hAnsi="仿宋" w:eastAsia="仿宋" w:cs="仿宋"/>
          <w:i w:val="0"/>
          <w:iCs w:val="0"/>
          <w:caps w:val="0"/>
          <w:color w:val="000000"/>
          <w:spacing w:val="0"/>
          <w:sz w:val="31"/>
          <w:szCs w:val="31"/>
          <w:bdr w:val="none" w:color="auto" w:sz="0" w:space="0"/>
          <w:shd w:val="clear" w:fill="FFFFFF"/>
        </w:rPr>
        <w:t>群众参与和监督力度不够，对政务信息的知晓率仍然较低。</w:t>
      </w:r>
      <w:r>
        <w:rPr>
          <w:rFonts w:hint="eastAsia" w:ascii="仿宋" w:hAnsi="仿宋" w:eastAsia="仿宋" w:cs="仿宋"/>
          <w:b/>
          <w:bCs/>
          <w:i w:val="0"/>
          <w:iCs w:val="0"/>
          <w:caps w:val="0"/>
          <w:color w:val="000000"/>
          <w:spacing w:val="0"/>
          <w:sz w:val="31"/>
          <w:szCs w:val="31"/>
          <w:bdr w:val="none" w:color="auto" w:sz="0" w:space="0"/>
          <w:shd w:val="clear" w:fill="FFFFFF"/>
        </w:rPr>
        <w:t>三是信息发布主动性、时效性还有待进一步提高。</w:t>
      </w:r>
      <w:r>
        <w:rPr>
          <w:rFonts w:hint="eastAsia" w:ascii="仿宋" w:hAnsi="仿宋" w:eastAsia="仿宋" w:cs="仿宋"/>
          <w:i w:val="0"/>
          <w:iCs w:val="0"/>
          <w:caps w:val="0"/>
          <w:color w:val="000000"/>
          <w:spacing w:val="0"/>
          <w:sz w:val="31"/>
          <w:szCs w:val="31"/>
          <w:bdr w:val="none" w:color="auto" w:sz="0" w:space="0"/>
          <w:shd w:val="clear" w:fill="FFFFFF"/>
        </w:rPr>
        <w:t>公开内容的及时性、全面性以及公开形式的便民性与公众的需求还存在差距，需要在今后工作中改进。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645"/>
        <w:jc w:val="both"/>
        <w:rPr>
          <w:rFonts w:hint="default" w:ascii="Calibri" w:hAnsi="Calibri" w:cs="Calibri"/>
          <w:i w:val="0"/>
          <w:iCs w:val="0"/>
          <w:caps w:val="0"/>
          <w:color w:val="000000"/>
          <w:spacing w:val="0"/>
          <w:sz w:val="24"/>
          <w:szCs w:val="24"/>
        </w:rPr>
      </w:pPr>
      <w:r>
        <w:rPr>
          <w:rFonts w:hint="eastAsia" w:ascii="仿宋" w:hAnsi="仿宋" w:eastAsia="仿宋" w:cs="仿宋"/>
          <w:b/>
          <w:bCs/>
          <w:i w:val="0"/>
          <w:iCs w:val="0"/>
          <w:caps w:val="0"/>
          <w:color w:val="000000"/>
          <w:spacing w:val="0"/>
          <w:sz w:val="32"/>
          <w:szCs w:val="32"/>
          <w:bdr w:val="none" w:color="auto" w:sz="0" w:space="0"/>
          <w:shd w:val="clear" w:fill="FFFFFF"/>
        </w:rPr>
        <w:t>（二）改进情况。一是规范工作流程。</w:t>
      </w:r>
      <w:r>
        <w:rPr>
          <w:rFonts w:hint="eastAsia" w:ascii="仿宋" w:hAnsi="仿宋" w:eastAsia="仿宋" w:cs="仿宋"/>
          <w:i w:val="0"/>
          <w:iCs w:val="0"/>
          <w:caps w:val="0"/>
          <w:color w:val="000000"/>
          <w:spacing w:val="0"/>
          <w:sz w:val="32"/>
          <w:szCs w:val="32"/>
          <w:bdr w:val="none" w:color="auto" w:sz="0" w:space="0"/>
          <w:shd w:val="clear" w:fill="FFFFFF"/>
        </w:rPr>
        <w:t>进一步梳理各部门所掌握的政府信息，及时提供，确保政府信息公开工作能按照既定的工作流程有效运作，使公众能够方便查询。</w:t>
      </w:r>
      <w:r>
        <w:rPr>
          <w:rFonts w:hint="eastAsia" w:ascii="仿宋" w:hAnsi="仿宋" w:eastAsia="仿宋" w:cs="仿宋"/>
          <w:b/>
          <w:bCs/>
          <w:i w:val="0"/>
          <w:iCs w:val="0"/>
          <w:caps w:val="0"/>
          <w:color w:val="000000"/>
          <w:spacing w:val="0"/>
          <w:sz w:val="31"/>
          <w:szCs w:val="31"/>
          <w:bdr w:val="none" w:color="auto" w:sz="0" w:space="0"/>
          <w:shd w:val="clear" w:fill="FFFFFF"/>
        </w:rPr>
        <w:t>二是加强队伍建设。</w:t>
      </w:r>
      <w:r>
        <w:rPr>
          <w:rFonts w:hint="eastAsia" w:ascii="仿宋" w:hAnsi="仿宋" w:eastAsia="仿宋" w:cs="仿宋"/>
          <w:i w:val="0"/>
          <w:iCs w:val="0"/>
          <w:caps w:val="0"/>
          <w:color w:val="000000"/>
          <w:spacing w:val="0"/>
          <w:sz w:val="31"/>
          <w:szCs w:val="31"/>
          <w:bdr w:val="none" w:color="auto" w:sz="0" w:space="0"/>
          <w:shd w:val="clear" w:fill="FFFFFF"/>
        </w:rPr>
        <w:t>我镇将根据工作需要，充实工作人员。加大培训力度，不断提高业务能力和综合素质，确保政务公开工作制度化、规范化发展。</w:t>
      </w:r>
      <w:r>
        <w:rPr>
          <w:rFonts w:hint="eastAsia" w:ascii="仿宋" w:hAnsi="仿宋" w:eastAsia="仿宋" w:cs="仿宋"/>
          <w:b/>
          <w:bCs/>
          <w:i w:val="0"/>
          <w:iCs w:val="0"/>
          <w:caps w:val="0"/>
          <w:color w:val="000000"/>
          <w:spacing w:val="0"/>
          <w:sz w:val="31"/>
          <w:szCs w:val="31"/>
          <w:bdr w:val="none" w:color="auto" w:sz="0" w:space="0"/>
          <w:shd w:val="clear" w:fill="FFFFFF"/>
        </w:rPr>
        <w:t>三是夯实工作责任。</w:t>
      </w:r>
      <w:r>
        <w:rPr>
          <w:rFonts w:hint="eastAsia" w:ascii="仿宋" w:hAnsi="仿宋" w:eastAsia="仿宋" w:cs="仿宋"/>
          <w:i w:val="0"/>
          <w:iCs w:val="0"/>
          <w:caps w:val="0"/>
          <w:color w:val="000000"/>
          <w:spacing w:val="0"/>
          <w:sz w:val="31"/>
          <w:szCs w:val="31"/>
          <w:bdr w:val="none" w:color="auto" w:sz="0" w:space="0"/>
          <w:shd w:val="clear" w:fill="FFFFFF"/>
        </w:rPr>
        <w:t>我镇将建立健全工作机制，层层落实目标责任，确保政务信息公开的及时性、准确性和有效性，做到工作有计划、有安排，及时发布更新政府信息。</w:t>
      </w:r>
      <w:r>
        <w:rPr>
          <w:rFonts w:hint="eastAsia" w:ascii="仿宋" w:hAnsi="仿宋" w:eastAsia="仿宋" w:cs="仿宋"/>
          <w:b/>
          <w:bCs/>
          <w:i w:val="0"/>
          <w:iCs w:val="0"/>
          <w:caps w:val="0"/>
          <w:color w:val="000000"/>
          <w:spacing w:val="0"/>
          <w:sz w:val="31"/>
          <w:szCs w:val="31"/>
          <w:bdr w:val="none" w:color="auto" w:sz="0" w:space="0"/>
          <w:shd w:val="clear" w:fill="FFFFFF"/>
        </w:rPr>
        <w:t>四是丰富公开渠道。</w:t>
      </w:r>
      <w:r>
        <w:rPr>
          <w:rFonts w:hint="eastAsia" w:ascii="仿宋" w:hAnsi="仿宋" w:eastAsia="仿宋" w:cs="仿宋"/>
          <w:i w:val="0"/>
          <w:iCs w:val="0"/>
          <w:caps w:val="0"/>
          <w:color w:val="000000"/>
          <w:spacing w:val="0"/>
          <w:sz w:val="31"/>
          <w:szCs w:val="31"/>
          <w:bdr w:val="none" w:color="auto" w:sz="0" w:space="0"/>
          <w:shd w:val="clear" w:fill="FFFFFF"/>
        </w:rPr>
        <w:t>我镇将本着规范、实用、简便、易行的原则，进一步丰富政府信息公开平台，结合微信等自媒体，让群众更好地获取信息。</w:t>
      </w:r>
    </w:p>
    <w:p>
      <w:pPr>
        <w:keepNext w:val="0"/>
        <w:keepLines w:val="0"/>
        <w:pageBreakBefore w:val="0"/>
        <w:widowControl/>
        <w:shd w:val="clear" w:color="auto" w:fill="FFFFFF"/>
        <w:kinsoku/>
        <w:overflowPunct/>
        <w:topLinePunct w:val="0"/>
        <w:autoSpaceDE/>
        <w:autoSpaceDN/>
        <w:bidi w:val="0"/>
        <w:adjustRightInd/>
        <w:snapToGrid/>
        <w:spacing w:line="520" w:lineRule="exact"/>
        <w:ind w:firstLine="600" w:firstLineChars="200"/>
        <w:textAlignment w:val="auto"/>
        <w:rPr>
          <w:rFonts w:hint="eastAsia" w:ascii="黑体" w:hAnsi="宋体" w:eastAsia="黑体" w:cs="黑体"/>
          <w:kern w:val="0"/>
          <w:sz w:val="30"/>
          <w:szCs w:val="30"/>
        </w:rPr>
      </w:pPr>
    </w:p>
    <w:p>
      <w:pPr>
        <w:keepNext w:val="0"/>
        <w:keepLines w:val="0"/>
        <w:pageBreakBefore w:val="0"/>
        <w:widowControl/>
        <w:shd w:val="clear" w:color="auto" w:fill="FFFFFF"/>
        <w:kinsoku/>
        <w:overflowPunct/>
        <w:topLinePunct w:val="0"/>
        <w:autoSpaceDE/>
        <w:autoSpaceDN/>
        <w:bidi w:val="0"/>
        <w:adjustRightInd/>
        <w:snapToGrid/>
        <w:spacing w:line="520" w:lineRule="exact"/>
        <w:ind w:firstLine="600" w:firstLineChars="200"/>
        <w:textAlignment w:val="auto"/>
        <w:rPr>
          <w:rFonts w:hint="eastAsia" w:ascii="黑体" w:hAnsi="宋体" w:eastAsia="黑体" w:cs="黑体"/>
          <w:kern w:val="0"/>
          <w:sz w:val="30"/>
          <w:szCs w:val="30"/>
        </w:rPr>
      </w:pPr>
    </w:p>
    <w:p>
      <w:pPr>
        <w:keepNext w:val="0"/>
        <w:keepLines w:val="0"/>
        <w:pageBreakBefore w:val="0"/>
        <w:widowControl/>
        <w:shd w:val="clear" w:color="auto" w:fill="FFFFFF"/>
        <w:kinsoku/>
        <w:overflowPunct/>
        <w:topLinePunct w:val="0"/>
        <w:autoSpaceDE/>
        <w:autoSpaceDN/>
        <w:bidi w:val="0"/>
        <w:adjustRightInd/>
        <w:snapToGrid/>
        <w:spacing w:line="520" w:lineRule="exact"/>
        <w:ind w:firstLine="600" w:firstLineChars="200"/>
        <w:textAlignment w:val="auto"/>
        <w:rPr>
          <w:rFonts w:ascii="黑体" w:hAnsi="宋体" w:eastAsia="黑体" w:cs="黑体"/>
          <w:kern w:val="0"/>
          <w:sz w:val="30"/>
          <w:szCs w:val="30"/>
        </w:rPr>
      </w:pPr>
      <w:bookmarkStart w:id="0" w:name="_GoBack"/>
      <w:bookmarkEnd w:id="0"/>
      <w:r>
        <w:rPr>
          <w:rFonts w:hint="eastAsia" w:ascii="黑体" w:hAnsi="宋体" w:eastAsia="黑体" w:cs="黑体"/>
          <w:kern w:val="0"/>
          <w:sz w:val="30"/>
          <w:szCs w:val="30"/>
        </w:rPr>
        <w:t>六、其他需要报告的事项</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520" w:lineRule="exact"/>
        <w:ind w:firstLine="560" w:firstLineChars="200"/>
        <w:textAlignment w:val="auto"/>
        <w:rPr>
          <w:rFonts w:hint="eastAsia" w:ascii="黑体" w:eastAsia="黑体" w:cs="黑体"/>
          <w:sz w:val="30"/>
          <w:szCs w:val="30"/>
          <w:lang w:eastAsia="zh-CN"/>
        </w:rPr>
      </w:pPr>
      <w:r>
        <w:rPr>
          <w:rFonts w:hint="eastAsia" w:ascii="仿宋_GB2312" w:hAnsi="仿宋_GB2312" w:eastAsia="仿宋_GB2312" w:cs="仿宋_GB2312"/>
          <w:sz w:val="28"/>
          <w:szCs w:val="28"/>
          <w:shd w:val="clear" w:color="auto" w:fill="FFFFFF"/>
          <w:lang w:eastAsia="zh-CN"/>
        </w:rPr>
        <w:t>我镇严格按照国务院办公厅《政府信息公开信息处理费管理办法》（国办函〔2020〕109号）执行，信息处理费按照超额累进方式计算收费金额，采取按件计收或按量计收方式，2022年我镇信息处理费收费情况为零。</w:t>
      </w:r>
    </w:p>
    <w:p>
      <w:pPr>
        <w:keepNext w:val="0"/>
        <w:keepLines w:val="0"/>
        <w:pageBreakBefore w:val="0"/>
        <w:kinsoku/>
        <w:overflowPunct/>
        <w:topLinePunct w:val="0"/>
        <w:autoSpaceDE/>
        <w:autoSpaceDN/>
        <w:bidi w:val="0"/>
        <w:adjustRightInd/>
        <w:snapToGrid/>
        <w:spacing w:line="520" w:lineRule="exact"/>
        <w:textAlignment w:val="auto"/>
        <w:rPr>
          <w:bCs/>
          <w:color w:val="000000" w:themeColor="text1"/>
          <w:sz w:val="28"/>
          <w:szCs w:val="28"/>
          <w14:textFill>
            <w14:solidFill>
              <w14:schemeClr w14:val="tx1"/>
            </w14:solidFill>
          </w14:textFill>
        </w:rPr>
      </w:pPr>
    </w:p>
    <w:p>
      <w:pPr>
        <w:keepNext w:val="0"/>
        <w:keepLines w:val="0"/>
        <w:pageBreakBefore w:val="0"/>
        <w:kinsoku/>
        <w:overflowPunct/>
        <w:topLinePunct w:val="0"/>
        <w:autoSpaceDE/>
        <w:autoSpaceDN/>
        <w:bidi w:val="0"/>
        <w:adjustRightInd/>
        <w:snapToGrid/>
        <w:spacing w:line="52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7E7ADD"/>
    <w:multiLevelType w:val="singleLevel"/>
    <w:tmpl w:val="1D7E7AD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3OGNhMmYyNDE3ZjVlMjllNjA3NjE5MTYxOTUwNGYifQ=="/>
  </w:docVars>
  <w:rsids>
    <w:rsidRoot w:val="00D37847"/>
    <w:rsid w:val="0044001E"/>
    <w:rsid w:val="0062457E"/>
    <w:rsid w:val="00AC5830"/>
    <w:rsid w:val="00D37847"/>
    <w:rsid w:val="00E44D05"/>
    <w:rsid w:val="09454C95"/>
    <w:rsid w:val="0A5B6057"/>
    <w:rsid w:val="0B195BBC"/>
    <w:rsid w:val="0E2D345E"/>
    <w:rsid w:val="10BB55F5"/>
    <w:rsid w:val="12E71BDD"/>
    <w:rsid w:val="142F7F0C"/>
    <w:rsid w:val="171216DE"/>
    <w:rsid w:val="176D6F3D"/>
    <w:rsid w:val="181758E3"/>
    <w:rsid w:val="1BED0AD9"/>
    <w:rsid w:val="1C4F391E"/>
    <w:rsid w:val="1C6F5C90"/>
    <w:rsid w:val="2343105D"/>
    <w:rsid w:val="26CC5EBA"/>
    <w:rsid w:val="26D72255"/>
    <w:rsid w:val="29744876"/>
    <w:rsid w:val="313915A4"/>
    <w:rsid w:val="316A07AA"/>
    <w:rsid w:val="31D73965"/>
    <w:rsid w:val="3E046AE9"/>
    <w:rsid w:val="42745831"/>
    <w:rsid w:val="44F50322"/>
    <w:rsid w:val="4BE84F37"/>
    <w:rsid w:val="4D6E11CA"/>
    <w:rsid w:val="4E787A3E"/>
    <w:rsid w:val="4EB50967"/>
    <w:rsid w:val="51E77029"/>
    <w:rsid w:val="53673A3C"/>
    <w:rsid w:val="55BF5227"/>
    <w:rsid w:val="58833A72"/>
    <w:rsid w:val="5BB70B36"/>
    <w:rsid w:val="664C597D"/>
    <w:rsid w:val="6785268F"/>
    <w:rsid w:val="6AEB57B0"/>
    <w:rsid w:val="6AEC77C0"/>
    <w:rsid w:val="712A18EC"/>
    <w:rsid w:val="7253625E"/>
    <w:rsid w:val="75137E46"/>
    <w:rsid w:val="770A32B2"/>
    <w:rsid w:val="7A4C0ABC"/>
    <w:rsid w:val="7EF20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BodyText1I2"/>
    <w:basedOn w:val="1"/>
    <w:qFormat/>
    <w:uiPriority w:val="0"/>
    <w:pPr>
      <w:ind w:left="420" w:leftChars="200" w:firstLine="210"/>
    </w:pPr>
  </w:style>
  <w:style w:type="paragraph" w:styleId="3">
    <w:name w:val="Normal Indent"/>
    <w:basedOn w:val="1"/>
    <w:qFormat/>
    <w:uiPriority w:val="0"/>
    <w:pPr>
      <w:ind w:firstLine="420" w:firstLineChars="200"/>
    </w:p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styleId="9">
    <w:name w:val="FollowedHyperlink"/>
    <w:basedOn w:val="7"/>
    <w:qFormat/>
    <w:uiPriority w:val="0"/>
    <w:rPr>
      <w:color w:val="555555"/>
      <w:u w:val="none"/>
    </w:rPr>
  </w:style>
  <w:style w:type="character" w:styleId="10">
    <w:name w:val="Hyperlink"/>
    <w:basedOn w:val="7"/>
    <w:qFormat/>
    <w:uiPriority w:val="0"/>
    <w:rPr>
      <w:color w:val="555555"/>
      <w:u w:val="none"/>
    </w:rPr>
  </w:style>
  <w:style w:type="character" w:customStyle="1" w:styleId="11">
    <w:name w:val="icon8"/>
    <w:basedOn w:val="7"/>
    <w:qFormat/>
    <w:uiPriority w:val="0"/>
  </w:style>
  <w:style w:type="character" w:customStyle="1" w:styleId="12">
    <w:name w:val="line"/>
    <w:basedOn w:val="7"/>
    <w:qFormat/>
    <w:uiPriority w:val="0"/>
  </w:style>
  <w:style w:type="character" w:customStyle="1" w:styleId="13">
    <w:name w:val="line1"/>
    <w:basedOn w:val="7"/>
    <w:qFormat/>
    <w:uiPriority w:val="0"/>
  </w:style>
  <w:style w:type="character" w:customStyle="1" w:styleId="14">
    <w:name w:val="icon2"/>
    <w:basedOn w:val="7"/>
    <w:qFormat/>
    <w:uiPriority w:val="0"/>
  </w:style>
  <w:style w:type="character" w:customStyle="1" w:styleId="15">
    <w:name w:val="icon3"/>
    <w:basedOn w:val="7"/>
    <w:qFormat/>
    <w:uiPriority w:val="0"/>
  </w:style>
  <w:style w:type="character" w:customStyle="1" w:styleId="16">
    <w:name w:val="icon1"/>
    <w:basedOn w:val="7"/>
    <w:qFormat/>
    <w:uiPriority w:val="0"/>
  </w:style>
  <w:style w:type="character" w:customStyle="1" w:styleId="17">
    <w:name w:val="icon7"/>
    <w:basedOn w:val="7"/>
    <w:qFormat/>
    <w:uiPriority w:val="0"/>
  </w:style>
  <w:style w:type="character" w:customStyle="1" w:styleId="18">
    <w:name w:val="icon4"/>
    <w:basedOn w:val="7"/>
    <w:qFormat/>
    <w:uiPriority w:val="0"/>
  </w:style>
  <w:style w:type="character" w:customStyle="1" w:styleId="19">
    <w:name w:val="icon5"/>
    <w:basedOn w:val="7"/>
    <w:qFormat/>
    <w:uiPriority w:val="0"/>
  </w:style>
  <w:style w:type="character" w:customStyle="1" w:styleId="20">
    <w:name w:val="icon6"/>
    <w:basedOn w:val="7"/>
    <w:qFormat/>
    <w:uiPriority w:val="0"/>
  </w:style>
  <w:style w:type="character" w:customStyle="1" w:styleId="21">
    <w:name w:val="on3"/>
    <w:basedOn w:val="7"/>
    <w:qFormat/>
    <w:uiPriority w:val="0"/>
    <w:rPr>
      <w:b/>
      <w:color w:val="D10200"/>
      <w:shd w:val="clear" w:color="auto" w:fill="F2F2F2"/>
    </w:rPr>
  </w:style>
  <w:style w:type="character" w:customStyle="1" w:styleId="22">
    <w:name w:val="last-child1"/>
    <w:basedOn w:val="7"/>
    <w:qFormat/>
    <w:uiPriority w:val="0"/>
  </w:style>
  <w:style w:type="character" w:customStyle="1" w:styleId="23">
    <w:name w:val="sl"/>
    <w:basedOn w:val="7"/>
    <w:qFormat/>
    <w:uiPriority w:val="0"/>
    <w:rPr>
      <w:sz w:val="21"/>
      <w:szCs w:val="21"/>
    </w:rPr>
  </w:style>
  <w:style w:type="character" w:customStyle="1" w:styleId="24">
    <w:name w:val="fy_go"/>
    <w:basedOn w:val="7"/>
    <w:qFormat/>
    <w:uiPriority w:val="0"/>
    <w:rPr>
      <w:color w:val="FFFFFF"/>
      <w:sz w:val="21"/>
      <w:szCs w:val="21"/>
      <w:shd w:val="clear" w:color="auto" w:fill="D102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2546</Words>
  <Characters>2625</Characters>
  <Lines>21</Lines>
  <Paragraphs>6</Paragraphs>
  <TotalTime>74</TotalTime>
  <ScaleCrop>false</ScaleCrop>
  <LinksUpToDate>false</LinksUpToDate>
  <CharactersWithSpaces>2632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2022-01-11T01:52:00Z</dcterms:created>
  <dc:creator>Administrator.BF-20210323HTCR</dc:creator>
  <cp:lastModifiedBy>Mickey</cp:lastModifiedBy>
  <cp:lastPrinted>2022-01-04T07:20:00Z</cp:lastPrinted>
  <dcterms:modified xsi:type="dcterms:W3CDTF">2023-01-18T08:23:13Z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C7AB37F6E699404ABFEB60C197E4F75B</vt:lpwstr>
  </property>
</Properties>
</file>