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在镇党委、镇政府的正确领导下，在市政府办的指导帮助下，洛市镇紧紧围绕中心工作，加强政策解读，回应社会关切、聚焦重点领域、规范信息管理、强化平台建设、完善制度体系，为保障公民、法人和其他组织依法获取政府信息，提高政府工作透明度，建设法治政府发挥了积极作用。现根据《中华人民共和国政府信息公开条例》和丰城市政府信息公开要求，结合我镇工作实际编制本年度报告。本报告中所列数据的统计期限自2020年1月1日至2020年12月31日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洛市镇主动公开政府信息208条，其中政府门户网站97条、网络问政平台104条；解决网络问政7条，受理过1起依申请公开政府信息，未向公民、法人和其他组织收取任何与政府信息公开工作相关的费用；未收到有关政府信息公开工作的举报、投诉、行政复议或行政诉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（一）主动公开方面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洛市镇全面推进政务公开，进一步健全政务公开机制，深化重点领域公开，提升政务公开质量，积极回应社会关切，持续关注政务网、“12345”政府服务热线，及时受理回复群众提问，对涉及公众利益、需要社会广泛知晓的为民办实事工作等信息，积极通过信息公示栏、网络和政务新媒体等向社会公开，进一步拓宽公众获取信息的渠道。2020年，洛市镇依法主动公开政府信息208条，其中政府门户网站102条、网络问政平台99条，受理回复网络问政7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（二）依申请公开方面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制定了政府信息公开依申请答复模板，并指定专人对接，进一步规范了依申请公开答复方式。2020年受理过1起依申请公开政府信息，未向公民、法人和其他组织收取任何与政府信息公开工作相关的费用。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（三）政府信息管理方面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强化信息审核管理，目前已形成由镇党委统一领导，办公室牵头协调，各部门单位各负其责，全员积极参与，镇纪委协调监督的信息公开领导体制和工作格局，即：由各部门具体指派专人负责公开信息的填报，信息填报后由部门负责人对拟公开的信息进行初审，通过初审并报经分管领导复审后，提交办公室复核后在政府信息公开网站发布。镇领导多次组织各部门负责人召开信息公开工作专题会议，就信息公开目录设置、信息公开与保密审查要求、信息公开工作中存在的问题等相关工作深入研究和探讨，结合党风廉政建设社会评价问题整改意见不断完善信息公开工作制度，规范信息公开管理模式，畅通信息公开运转机制，使信息公开工作整体水平不断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（四）平台建设方面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定期更新政务信息，整合汇集全镇政务服务、公共服务、便民服务资源，及时推送洛市要闻、政务动态、民生公告、营商环境等信息，持续提升政府网站建设水平。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（五）监督保障方面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加强组织保障。成立了由分管领导为组长、办公室成员为成员的信息公开工作领导小组，办公室负责具体日常工作，明确专人专职负责政府信息的公开。信息公开领导小组先后多次召开专题会议，认真学习有关信息公开的文件和会议精神，研究部署信息公开有关工作，促使了洛市镇信息公开工作向制度化、规范化的方向发展；同时，在人员、经费、办公设备等方面给予优先考虑，保证信息公开工作正常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二是强化监督考核。坚持把政府信息公开工作和政府网站、政务新媒体纳入绩效考核体系，考核结果定期通报。同时，积极开展社会评议，加强社会监督。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定期开展培训。加强工作人员培训，学习新《条例》各项规定，尤其是针对新《条例》施行过程中的常见问题，开展业务培训，不断提高人员素质和公开质量。组织开展全市政府网站和政务新媒体培训，提高各级各部门领导重视程度和经办人员业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2020年我镇</w:t>
      </w:r>
      <w:bookmarkStart w:id="0" w:name="_GoBack"/>
      <w:bookmarkEnd w:id="0"/>
      <w:r>
        <w:rPr>
          <w:rFonts w:hint="eastAsia" w:ascii="仿宋_GB2312" w:hAnsi="仿宋_GB2312" w:eastAsia="仿宋_GB2312" w:cs="仿宋_GB2312"/>
          <w:sz w:val="32"/>
          <w:szCs w:val="32"/>
          <w:lang w:val="en-US" w:eastAsia="zh-CN"/>
        </w:rPr>
        <w:t>在市政务公开工作考核中取得了良好成绩，接受各单位和群众的社会监督、社会评议，社会群众对我乡信息公开评议结果较好。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2020年我镇未发生政务公开责任追究情况。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二、主动公开政府信息情况</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688"/>
        <w:gridCol w:w="1971"/>
        <w:gridCol w:w="1971"/>
        <w:gridCol w:w="19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000" w:type="pct"/>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信息内容</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本年新制作数量</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本年新公开数量</w:t>
            </w:r>
          </w:p>
        </w:tc>
        <w:tc>
          <w:tcPr>
            <w:tcW w:w="114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规章</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c>
          <w:tcPr>
            <w:tcW w:w="114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规范性文件</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c>
          <w:tcPr>
            <w:tcW w:w="114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lang w:val="en-US" w:eastAsia="zh-CN"/>
              </w:rPr>
            </w:pPr>
            <w:r>
              <w:rPr>
                <w:rFonts w:hint="eastAsia" w:ascii="宋体" w:hAnsi="宋体" w:eastAsia="宋体" w:cs="宋体"/>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信息内容</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上一年项目数量</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本年增/减</w:t>
            </w:r>
          </w:p>
        </w:tc>
        <w:tc>
          <w:tcPr>
            <w:tcW w:w="114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行政许可</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c>
          <w:tcPr>
            <w:tcW w:w="114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其他对外管理服务事项</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c>
          <w:tcPr>
            <w:tcW w:w="114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第二十六条第（六）项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信息内容</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上一年项目数量</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本年增/减</w:t>
            </w:r>
          </w:p>
        </w:tc>
        <w:tc>
          <w:tcPr>
            <w:tcW w:w="114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行政处罚</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c>
          <w:tcPr>
            <w:tcW w:w="114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行政强制</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c>
          <w:tcPr>
            <w:tcW w:w="114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信息内容</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上一年项目数量</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本年增/减</w:t>
            </w:r>
          </w:p>
        </w:tc>
        <w:tc>
          <w:tcPr>
            <w:tcW w:w="114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行政事业性收费</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c>
          <w:tcPr>
            <w:tcW w:w="114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00" w:type="pct"/>
            <w:gridSpan w:val="4"/>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信息内容</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采购项目数量</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采购总金额</w:t>
            </w:r>
          </w:p>
        </w:tc>
        <w:tc>
          <w:tcPr>
            <w:tcW w:w="114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6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政府集中采购</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c>
          <w:tcPr>
            <w:tcW w:w="114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0</w:t>
            </w:r>
          </w:p>
        </w:tc>
        <w:tc>
          <w:tcPr>
            <w:tcW w:w="114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jc w:val="left"/>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三、收到和处理政府信息公开申请情况</w:t>
      </w:r>
    </w:p>
    <w:tbl>
      <w:tblPr>
        <w:tblStyle w:val="3"/>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69"/>
        <w:gridCol w:w="927"/>
        <w:gridCol w:w="3283"/>
        <w:gridCol w:w="743"/>
        <w:gridCol w:w="480"/>
        <w:gridCol w:w="480"/>
        <w:gridCol w:w="641"/>
        <w:gridCol w:w="619"/>
        <w:gridCol w:w="481"/>
        <w:gridCol w:w="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804" w:type="pct"/>
            <w:gridSpan w:val="3"/>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pPr>
            <w:r>
              <w:rPr>
                <w:rFonts w:hint="eastAsia" w:ascii="宋体" w:hAnsi="宋体" w:eastAsia="宋体" w:cs="宋体"/>
                <w:sz w:val="18"/>
                <w:szCs w:val="18"/>
              </w:rPr>
              <w:t>（本列数据的勾稽关系为：第一项加第二项之和，等于第三项加第四项之和）</w:t>
            </w:r>
          </w:p>
        </w:tc>
        <w:tc>
          <w:tcPr>
            <w:tcW w:w="2195" w:type="pct"/>
            <w:gridSpan w:val="7"/>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pPr>
            <w:r>
              <w:rPr>
                <w:rFonts w:hint="eastAsia" w:ascii="宋体" w:hAnsi="宋体" w:eastAsia="宋体" w:cs="宋体"/>
                <w:sz w:val="18"/>
                <w:szCs w:val="18"/>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04" w:type="pct"/>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0"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pPr>
            <w:r>
              <w:rPr>
                <w:rFonts w:hint="eastAsia" w:ascii="宋体" w:hAnsi="宋体" w:eastAsia="宋体" w:cs="宋体"/>
                <w:kern w:val="0"/>
                <w:sz w:val="18"/>
                <w:szCs w:val="18"/>
                <w:lang w:val="en-US" w:eastAsia="zh-CN" w:bidi="ar"/>
              </w:rPr>
              <w:t>自然人</w:t>
            </w:r>
          </w:p>
        </w:tc>
        <w:tc>
          <w:tcPr>
            <w:tcW w:w="1735" w:type="pct"/>
            <w:gridSpan w:val="6"/>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top"/>
          </w:tcPr>
          <w:p>
            <w:pPr>
              <w:keepNext w:val="0"/>
              <w:keepLines w:val="0"/>
              <w:widowControl/>
              <w:suppressLineNumbers w:val="0"/>
              <w:wordWrap w:val="0"/>
              <w:jc w:val="center"/>
            </w:pPr>
            <w:r>
              <w:rPr>
                <w:rFonts w:hint="eastAsia" w:ascii="宋体" w:hAnsi="宋体" w:eastAsia="宋体" w:cs="宋体"/>
                <w:kern w:val="0"/>
                <w:sz w:val="18"/>
                <w:szCs w:val="18"/>
                <w:lang w:val="en-US" w:eastAsia="zh-CN" w:bidi="ar"/>
              </w:rPr>
              <w:t>法人或其他组织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04" w:type="pct"/>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460"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pPr>
            <w:r>
              <w:rPr>
                <w:rFonts w:hint="eastAsia" w:ascii="宋体" w:hAnsi="宋体" w:eastAsia="宋体" w:cs="宋体"/>
                <w:kern w:val="0"/>
                <w:sz w:val="18"/>
                <w:szCs w:val="18"/>
                <w:lang w:val="en-US" w:eastAsia="zh-CN" w:bidi="ar"/>
              </w:rPr>
              <w:t>商业机构</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pPr>
            <w:r>
              <w:rPr>
                <w:rFonts w:hint="eastAsia" w:ascii="宋体" w:hAnsi="宋体" w:eastAsia="宋体" w:cs="宋体"/>
                <w:kern w:val="0"/>
                <w:sz w:val="18"/>
                <w:szCs w:val="18"/>
                <w:lang w:val="en-US" w:eastAsia="zh-CN" w:bidi="ar"/>
              </w:rPr>
              <w:t>科研机构</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pPr>
            <w:r>
              <w:rPr>
                <w:rFonts w:hint="eastAsia" w:ascii="宋体" w:hAnsi="宋体" w:eastAsia="宋体" w:cs="宋体"/>
                <w:kern w:val="0"/>
                <w:sz w:val="18"/>
                <w:szCs w:val="18"/>
                <w:lang w:val="en-US" w:eastAsia="zh-CN" w:bidi="ar"/>
              </w:rPr>
              <w:t>社会公益组织</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pPr>
            <w:r>
              <w:rPr>
                <w:rFonts w:hint="eastAsia" w:ascii="宋体" w:hAnsi="宋体" w:eastAsia="宋体" w:cs="宋体"/>
                <w:kern w:val="0"/>
                <w:sz w:val="18"/>
                <w:szCs w:val="18"/>
                <w:lang w:val="en-US" w:eastAsia="zh-CN" w:bidi="ar"/>
              </w:rPr>
              <w:t>法律服务机构</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pPr>
            <w:r>
              <w:rPr>
                <w:rFonts w:hint="eastAsia" w:ascii="宋体" w:hAnsi="宋体" w:eastAsia="宋体" w:cs="宋体"/>
                <w:kern w:val="0"/>
                <w:sz w:val="18"/>
                <w:szCs w:val="18"/>
                <w:lang w:val="en-US" w:eastAsia="zh-CN" w:bidi="ar"/>
              </w:rPr>
              <w:t>其他</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pPr>
            <w:r>
              <w:rPr>
                <w:rFonts w:hint="eastAsia" w:ascii="宋体" w:hAnsi="宋体" w:eastAsia="宋体" w:cs="宋体"/>
                <w:kern w:val="0"/>
                <w:sz w:val="18"/>
                <w:szCs w:val="18"/>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2804" w:type="pct"/>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pPr>
            <w:r>
              <w:rPr>
                <w:rFonts w:hint="eastAsia" w:ascii="宋体" w:hAnsi="宋体" w:eastAsia="宋体" w:cs="宋体"/>
                <w:sz w:val="18"/>
                <w:szCs w:val="18"/>
              </w:rPr>
              <w:t>一、本年新收政府信息公开申请数量</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1</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04" w:type="pct"/>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pPr>
            <w:r>
              <w:rPr>
                <w:rFonts w:hint="eastAsia" w:ascii="宋体" w:hAnsi="宋体" w:eastAsia="宋体" w:cs="宋体"/>
                <w:sz w:val="18"/>
                <w:szCs w:val="18"/>
              </w:rPr>
              <w:t>二、上年结转政府信息公开申请数量</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pPr>
          </w:p>
        </w:tc>
        <w:tc>
          <w:tcPr>
            <w:tcW w:w="2502" w:type="pct"/>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pPr>
            <w:r>
              <w:rPr>
                <w:rFonts w:hint="eastAsia" w:ascii="宋体" w:hAnsi="宋体" w:eastAsia="宋体" w:cs="宋体"/>
                <w:sz w:val="18"/>
                <w:szCs w:val="18"/>
              </w:rPr>
              <w:t>（一）予以公开</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1</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502" w:type="pct"/>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pPr>
            <w:r>
              <w:rPr>
                <w:rFonts w:hint="eastAsia" w:ascii="宋体" w:hAnsi="宋体" w:eastAsia="宋体" w:cs="宋体"/>
                <w:sz w:val="18"/>
                <w:szCs w:val="18"/>
              </w:rPr>
              <w:t>（二）部分公开（区分处理的），只计这一情形，不计其他情形</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jc w:val="center"/>
            </w:pPr>
            <w:r>
              <w:rPr>
                <w:rFonts w:hint="eastAsia" w:ascii="宋体" w:hAnsi="宋体" w:eastAsia="宋体" w:cs="宋体"/>
                <w:sz w:val="18"/>
                <w:szCs w:val="18"/>
              </w:rPr>
              <w:t>（三）不予</w:t>
            </w:r>
          </w:p>
          <w:p>
            <w:pPr>
              <w:pStyle w:val="2"/>
              <w:keepNext w:val="0"/>
              <w:keepLines w:val="0"/>
              <w:widowControl/>
              <w:suppressLineNumbers w:val="0"/>
              <w:wordWrap w:val="0"/>
              <w:spacing w:before="0" w:beforeAutospacing="0" w:after="15" w:afterAutospacing="0"/>
              <w:ind w:left="0" w:right="0"/>
              <w:jc w:val="center"/>
            </w:pPr>
            <w:r>
              <w:rPr>
                <w:rFonts w:hint="eastAsia" w:ascii="宋体" w:hAnsi="宋体" w:eastAsia="宋体" w:cs="宋体"/>
                <w:sz w:val="18"/>
                <w:szCs w:val="18"/>
              </w:rPr>
              <w:t>以公</w:t>
            </w:r>
          </w:p>
          <w:p>
            <w:pPr>
              <w:pStyle w:val="2"/>
              <w:keepNext w:val="0"/>
              <w:keepLines w:val="0"/>
              <w:widowControl/>
              <w:suppressLineNumbers w:val="0"/>
              <w:wordWrap w:val="0"/>
              <w:spacing w:before="0" w:beforeAutospacing="0" w:after="15" w:afterAutospacing="0"/>
              <w:ind w:left="0" w:right="0"/>
              <w:jc w:val="center"/>
            </w:pPr>
            <w:r>
              <w:rPr>
                <w:rFonts w:hint="eastAsia" w:ascii="宋体" w:hAnsi="宋体" w:eastAsia="宋体" w:cs="宋体"/>
                <w:sz w:val="18"/>
                <w:szCs w:val="18"/>
              </w:rPr>
              <w:t>开</w:t>
            </w: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1、属于国家秘密</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2、其他法律行政法规禁止公开</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3、危及“三安全一稳定”</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4、保护第三方合法权益</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5、属于第三类内部事务信息</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6、属于四类过程性信息</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7、属于行政执法案卷</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8、属于行政查询事项</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（四）无法</w:t>
            </w:r>
          </w:p>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提供</w:t>
            </w: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1、本机关不掌握相关政府信息</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2、没有现成信息需要另行制作</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3、补正后申请内容仍不明确</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（五）</w:t>
            </w:r>
          </w:p>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不予</w:t>
            </w:r>
          </w:p>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处理</w:t>
            </w: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1、信访举报类申请</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2、重复申请</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3、要求提供公开出版物</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4、无正当理由大量反复申请</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5、要求行政机关确认或重新出具已获取信息</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pP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（六）其他处理</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56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jc w:val="left"/>
            </w:pPr>
          </w:p>
        </w:tc>
        <w:tc>
          <w:tcPr>
            <w:tcW w:w="19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（七）总计</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1</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804" w:type="pct"/>
            <w:gridSpan w:val="3"/>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pPr>
            <w:r>
              <w:rPr>
                <w:rFonts w:hint="eastAsia" w:ascii="宋体" w:hAnsi="宋体" w:eastAsia="宋体" w:cs="宋体"/>
                <w:sz w:val="18"/>
                <w:szCs w:val="18"/>
              </w:rPr>
              <w:t>四、结转下年度继续办理</w:t>
            </w:r>
          </w:p>
        </w:tc>
        <w:tc>
          <w:tcPr>
            <w:tcW w:w="4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2"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40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38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c>
          <w:tcPr>
            <w:tcW w:w="23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wordWrap w:val="0"/>
              <w:spacing w:before="0" w:beforeAutospacing="0" w:after="15" w:afterAutospacing="0"/>
              <w:ind w:left="0" w:right="0"/>
            </w:pPr>
            <w:r>
              <w:rPr>
                <w:rFonts w:hint="eastAsia" w:ascii="宋体" w:hAnsi="宋体" w:eastAsia="宋体" w:cs="宋体"/>
                <w:sz w:val="18"/>
                <w:szCs w:val="18"/>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四、政府信息公开行政复议、行政诉讼情况</w:t>
      </w:r>
    </w:p>
    <w:tbl>
      <w:tblPr>
        <w:tblStyle w:val="3"/>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97"/>
        <w:gridCol w:w="597"/>
        <w:gridCol w:w="597"/>
        <w:gridCol w:w="597"/>
        <w:gridCol w:w="480"/>
        <w:gridCol w:w="597"/>
        <w:gridCol w:w="597"/>
        <w:gridCol w:w="597"/>
        <w:gridCol w:w="597"/>
        <w:gridCol w:w="480"/>
        <w:gridCol w:w="597"/>
        <w:gridCol w:w="597"/>
        <w:gridCol w:w="597"/>
        <w:gridCol w:w="597"/>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1665" w:type="pct"/>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行政复议</w:t>
            </w:r>
          </w:p>
        </w:tc>
        <w:tc>
          <w:tcPr>
            <w:tcW w:w="3334" w:type="pct"/>
            <w:gridSpan w:val="10"/>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51"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pPr>
            <w:r>
              <w:rPr>
                <w:rFonts w:hint="eastAsia" w:ascii="宋体" w:hAnsi="宋体" w:eastAsia="宋体" w:cs="宋体"/>
                <w:sz w:val="18"/>
                <w:szCs w:val="18"/>
              </w:rPr>
              <w:t>结果维持</w:t>
            </w:r>
          </w:p>
        </w:tc>
        <w:tc>
          <w:tcPr>
            <w:tcW w:w="351"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pPr>
            <w:r>
              <w:rPr>
                <w:rFonts w:hint="eastAsia" w:ascii="宋体" w:hAnsi="宋体" w:eastAsia="宋体" w:cs="宋体"/>
                <w:sz w:val="18"/>
                <w:szCs w:val="18"/>
              </w:rPr>
              <w:t>结果纠正</w:t>
            </w:r>
          </w:p>
        </w:tc>
        <w:tc>
          <w:tcPr>
            <w:tcW w:w="351"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pPr>
            <w:r>
              <w:rPr>
                <w:rFonts w:hint="eastAsia" w:ascii="宋体" w:hAnsi="宋体" w:eastAsia="宋体" w:cs="宋体"/>
                <w:sz w:val="18"/>
                <w:szCs w:val="18"/>
              </w:rPr>
              <w:t>其他结果</w:t>
            </w:r>
          </w:p>
        </w:tc>
        <w:tc>
          <w:tcPr>
            <w:tcW w:w="351"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pPr>
            <w:r>
              <w:rPr>
                <w:rFonts w:hint="eastAsia" w:ascii="宋体" w:hAnsi="宋体" w:eastAsia="宋体" w:cs="宋体"/>
                <w:sz w:val="18"/>
                <w:szCs w:val="18"/>
              </w:rPr>
              <w:t>尚未审结</w:t>
            </w:r>
          </w:p>
        </w:tc>
        <w:tc>
          <w:tcPr>
            <w:tcW w:w="259" w:type="pct"/>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pPr>
            <w:r>
              <w:rPr>
                <w:rFonts w:hint="eastAsia" w:ascii="宋体" w:hAnsi="宋体" w:eastAsia="宋体" w:cs="宋体"/>
                <w:sz w:val="18"/>
                <w:szCs w:val="18"/>
              </w:rPr>
              <w:t>总计</w:t>
            </w:r>
          </w:p>
        </w:tc>
        <w:tc>
          <w:tcPr>
            <w:tcW w:w="1667" w:type="pct"/>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未经复议直接起诉</w:t>
            </w:r>
          </w:p>
        </w:tc>
        <w:tc>
          <w:tcPr>
            <w:tcW w:w="1667" w:type="pct"/>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rPr>
            </w:pPr>
            <w:r>
              <w:rPr>
                <w:rFonts w:hint="eastAsia" w:ascii="宋体" w:hAnsi="宋体" w:eastAsia="宋体" w:cs="宋体"/>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35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35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351"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259" w:type="pct"/>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rPr>
                <w:rFonts w:hint="eastAsia" w:ascii="宋体"/>
                <w:sz w:val="24"/>
                <w:szCs w:val="24"/>
              </w:rPr>
            </w:pP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pPr>
            <w:r>
              <w:rPr>
                <w:rFonts w:hint="eastAsia" w:ascii="宋体" w:hAnsi="宋体" w:eastAsia="宋体" w:cs="宋体"/>
                <w:sz w:val="18"/>
                <w:szCs w:val="18"/>
              </w:rPr>
              <w:t>结果维持</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pPr>
            <w:r>
              <w:rPr>
                <w:rFonts w:hint="eastAsia" w:ascii="宋体" w:hAnsi="宋体" w:eastAsia="宋体" w:cs="宋体"/>
                <w:sz w:val="18"/>
                <w:szCs w:val="18"/>
              </w:rPr>
              <w:t>结果纠正</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pPr>
            <w:r>
              <w:rPr>
                <w:rFonts w:hint="eastAsia" w:ascii="宋体" w:hAnsi="宋体" w:eastAsia="宋体" w:cs="宋体"/>
                <w:sz w:val="18"/>
                <w:szCs w:val="18"/>
              </w:rPr>
              <w:t>其他结果</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pPr>
            <w:r>
              <w:rPr>
                <w:rFonts w:hint="eastAsia" w:ascii="宋体" w:hAnsi="宋体" w:eastAsia="宋体" w:cs="宋体"/>
                <w:sz w:val="18"/>
                <w:szCs w:val="18"/>
              </w:rPr>
              <w:t>尚未审结</w:t>
            </w:r>
          </w:p>
        </w:tc>
        <w:tc>
          <w:tcPr>
            <w:tcW w:w="2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pPr>
            <w:r>
              <w:rPr>
                <w:rFonts w:hint="eastAsia" w:ascii="宋体" w:hAnsi="宋体" w:eastAsia="宋体" w:cs="宋体"/>
                <w:sz w:val="18"/>
                <w:szCs w:val="18"/>
              </w:rPr>
              <w:t>总计</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pPr>
            <w:r>
              <w:rPr>
                <w:rFonts w:hint="eastAsia" w:ascii="宋体" w:hAnsi="宋体" w:eastAsia="宋体" w:cs="宋体"/>
                <w:sz w:val="18"/>
                <w:szCs w:val="18"/>
              </w:rPr>
              <w:t>结果维持</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pPr>
            <w:r>
              <w:rPr>
                <w:rFonts w:hint="eastAsia" w:ascii="宋体" w:hAnsi="宋体" w:eastAsia="宋体" w:cs="宋体"/>
                <w:sz w:val="18"/>
                <w:szCs w:val="18"/>
              </w:rPr>
              <w:t>结果纠正</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pPr>
            <w:r>
              <w:rPr>
                <w:rFonts w:hint="eastAsia" w:ascii="宋体" w:hAnsi="宋体" w:eastAsia="宋体" w:cs="宋体"/>
                <w:sz w:val="18"/>
                <w:szCs w:val="18"/>
              </w:rPr>
              <w:t>其他结果</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pPr>
            <w:r>
              <w:rPr>
                <w:rFonts w:hint="eastAsia" w:ascii="宋体" w:hAnsi="宋体" w:eastAsia="宋体" w:cs="宋体"/>
                <w:sz w:val="18"/>
                <w:szCs w:val="18"/>
              </w:rPr>
              <w:t>尚未审结</w:t>
            </w:r>
          </w:p>
        </w:tc>
        <w:tc>
          <w:tcPr>
            <w:tcW w:w="2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jc w:val="center"/>
            </w:pPr>
            <w:r>
              <w:rPr>
                <w:rFonts w:hint="eastAsia" w:ascii="宋体" w:hAnsi="宋体" w:eastAsia="宋体" w:cs="宋体"/>
                <w:sz w:val="18"/>
                <w:szCs w:val="18"/>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0</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0</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0</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0</w:t>
            </w:r>
          </w:p>
        </w:tc>
        <w:tc>
          <w:tcPr>
            <w:tcW w:w="25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0</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0</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0</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0</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0</w:t>
            </w:r>
          </w:p>
        </w:tc>
        <w:tc>
          <w:tcPr>
            <w:tcW w:w="260"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0</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0</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0</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0</w:t>
            </w:r>
          </w:p>
        </w:tc>
        <w:tc>
          <w:tcPr>
            <w:tcW w:w="35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0</w:t>
            </w:r>
          </w:p>
        </w:tc>
        <w:tc>
          <w:tcPr>
            <w:tcW w:w="26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spacing w:before="0" w:beforeAutospacing="0" w:after="15" w:afterAutospacing="0"/>
              <w:ind w:left="0" w:right="0"/>
              <w:rPr>
                <w:rFonts w:hint="eastAsia" w:ascii="宋体" w:hAnsi="宋体" w:eastAsia="宋体" w:cs="宋体"/>
              </w:rPr>
            </w:pPr>
            <w:r>
              <w:rPr>
                <w:rFonts w:hint="eastAsia" w:ascii="宋体" w:hAnsi="宋体" w:eastAsia="宋体" w:cs="宋体"/>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1.存在的问题：一是政府信息公开力度不强，公开时效性、公开内容质量有待加强；二是政务公开工作队伍换动频繁，建设有待加强；三是群众对乡镇政府信息公开平台知晓率不高，参与度低。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改进措施：一是加强政府信息公开力度，根据《丰城市乡镇（街道）信息公开标准目录》，突出工作重点和群众关注热点，做到应公开尽公开，充实信息公开内容，切实发挥好信息公开平台的桥梁作用；二是进一步完善工作机制，加强工作队伍建设，强化业务培训，明确专人负责政府信息公开的组织协调、维护更新等工作；三是加大宣传力度，拓宽政府信息公开渠道，提升群众知晓率和参与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3"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六、其他需要报告的事项：无。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75" w:beforeAutospacing="0" w:after="75" w:afterAutospacing="0" w:line="400" w:lineRule="exact"/>
        <w:ind w:left="0" w:right="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洛市镇人民政府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right"/>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2021年1月19日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400" w:lineRule="exact"/>
        <w:ind w:left="0" w:right="0" w:firstLine="640" w:firstLineChars="200"/>
        <w:jc w:val="left"/>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D38E5"/>
    <w:rsid w:val="12244DFA"/>
    <w:rsid w:val="17B0616D"/>
    <w:rsid w:val="24FE7B49"/>
    <w:rsid w:val="30203220"/>
    <w:rsid w:val="34ED38E5"/>
    <w:rsid w:val="3DAD55EF"/>
    <w:rsid w:val="400D60C8"/>
    <w:rsid w:val="566D05B9"/>
    <w:rsid w:val="59F20D05"/>
    <w:rsid w:val="6B3D2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2021-04-29T07:53:00Z</dcterms:created>
  <dc:creator>可析</dc:creator>
  <cp:lastModifiedBy>可析</cp:lastModifiedBy>
  <dcterms:modified xsi:type="dcterms:W3CDTF">2021-05-08T03:34:19Z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E84F9D07AD7545119447BAF31A517649</vt:lpwstr>
  </property>
</Properties>
</file>