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shd w:val="clear" w:color="auto" w:fill="FFFFFF"/>
          <w14:textFill>
            <w14:solidFill>
              <w14:schemeClr w14:val="tx1"/>
            </w14:solidFill>
          </w14:textFill>
        </w:rPr>
        <w:t>上塘镇202</w:t>
      </w:r>
      <w:r>
        <w:rPr>
          <w:rFonts w:hint="eastAsia" w:ascii="黑体" w:hAnsi="黑体" w:eastAsia="黑体" w:cs="黑体"/>
          <w:color w:val="000000" w:themeColor="text1"/>
          <w:sz w:val="36"/>
          <w:szCs w:val="36"/>
          <w:shd w:val="clear" w:color="auto" w:fill="FFFFFF"/>
          <w:lang w:val="en-US" w:eastAsia="zh-CN"/>
          <w14:textFill>
            <w14:solidFill>
              <w14:schemeClr w14:val="tx1"/>
            </w14:solidFill>
          </w14:textFill>
        </w:rPr>
        <w:t>2</w:t>
      </w:r>
      <w:r>
        <w:rPr>
          <w:rFonts w:hint="eastAsia" w:ascii="黑体" w:hAnsi="黑体" w:eastAsia="黑体" w:cs="黑体"/>
          <w:color w:val="000000" w:themeColor="text1"/>
          <w:sz w:val="36"/>
          <w:szCs w:val="36"/>
          <w:shd w:val="clear" w:color="auto" w:fill="FFFFFF"/>
          <w14:textFill>
            <w14:solidFill>
              <w14:schemeClr w14:val="tx1"/>
            </w14:solidFill>
          </w14:textFill>
        </w:rPr>
        <w:t>年政府信息公开工作年度报告</w:t>
      </w:r>
    </w:p>
    <w:p>
      <w:pPr>
        <w:pStyle w:val="4"/>
        <w:shd w:val="clear" w:color="auto" w:fill="FFFFFF"/>
        <w:spacing w:before="0" w:beforeAutospacing="0" w:after="0" w:afterAutospacing="0" w:line="600" w:lineRule="exact"/>
        <w:ind w:firstLine="440"/>
        <w:jc w:val="left"/>
        <w:rPr>
          <w:rFonts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上塘镇人民政府办公室编制，本年度报告中所列数据统计期限自202</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0"/>
          <w:szCs w:val="30"/>
          <w:shd w:val="clear" w:color="auto" w:fill="FFFFFF"/>
          <w14:textFill>
            <w14:solidFill>
              <w14:schemeClr w14:val="tx1"/>
            </w14:solidFill>
          </w14:textFill>
        </w:rPr>
        <w:t>年1月1日至202</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0"/>
          <w:szCs w:val="30"/>
          <w:shd w:val="clear" w:color="auto" w:fill="FFFFFF"/>
          <w14:textFill>
            <w14:solidFill>
              <w14:schemeClr w14:val="tx1"/>
            </w14:solidFill>
          </w14:textFill>
        </w:rPr>
        <w:t>年12月31日止，并通过丰城市人民政府门户网站中“政府信息公开年报”栏目（网址:</w:t>
      </w:r>
      <w:r>
        <w:rPr>
          <w:rFonts w:hint="eastAsia" w:ascii="仿宋" w:hAnsi="仿宋" w:eastAsia="仿宋"/>
          <w:color w:val="000000"/>
          <w:sz w:val="30"/>
          <w:szCs w:val="30"/>
          <w:shd w:val="clear" w:color="auto" w:fill="FFFFFF"/>
        </w:rPr>
        <w:t xml:space="preserve"> http://www.jxfc.gov.cn/fcsrmzf/nb2021/xxgk_gknb.shtml</w:t>
      </w:r>
      <w:r>
        <w:rPr>
          <w:rFonts w:hint="eastAsia" w:ascii="仿宋" w:hAnsi="仿宋" w:eastAsia="仿宋" w:cs="仿宋"/>
          <w:color w:val="000000" w:themeColor="text1"/>
          <w:sz w:val="30"/>
          <w:szCs w:val="30"/>
          <w:shd w:val="clear" w:color="auto" w:fill="FFFFFF"/>
          <w14:textFill>
            <w14:solidFill>
              <w14:schemeClr w14:val="tx1"/>
            </w14:solidFill>
          </w14:textFill>
        </w:rPr>
        <w:t>）等平台向社会主动公开，如对本年报有疑问，请与上塘镇人民政府办公室联系（地址：丰城市上塘镇荣</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欣</w:t>
      </w:r>
      <w:r>
        <w:rPr>
          <w:rFonts w:hint="eastAsia" w:ascii="仿宋" w:hAnsi="仿宋" w:eastAsia="仿宋" w:cs="仿宋"/>
          <w:color w:val="000000" w:themeColor="text1"/>
          <w:sz w:val="30"/>
          <w:szCs w:val="30"/>
          <w:shd w:val="clear" w:color="auto" w:fill="FFFFFF"/>
          <w14:textFill>
            <w14:solidFill>
              <w14:schemeClr w14:val="tx1"/>
            </w14:solidFill>
          </w14:textFill>
        </w:rPr>
        <w:t>路</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112号</w:t>
      </w:r>
      <w:r>
        <w:rPr>
          <w:rFonts w:hint="eastAsia" w:ascii="仿宋" w:hAnsi="仿宋" w:eastAsia="仿宋" w:cs="仿宋"/>
          <w:color w:val="000000" w:themeColor="text1"/>
          <w:sz w:val="30"/>
          <w:szCs w:val="30"/>
          <w:shd w:val="clear" w:color="auto" w:fill="FFFFFF"/>
          <w14:textFill>
            <w14:solidFill>
              <w14:schemeClr w14:val="tx1"/>
            </w14:solidFill>
          </w14:textFill>
        </w:rPr>
        <w:t>，电话：0795－6433699）</w:t>
      </w:r>
    </w:p>
    <w:p>
      <w:pPr>
        <w:pStyle w:val="4"/>
        <w:shd w:val="clear" w:color="auto" w:fill="FFFFFF"/>
        <w:spacing w:before="0" w:beforeAutospacing="0" w:after="0" w:afterAutospacing="0" w:line="600" w:lineRule="exact"/>
        <w:ind w:firstLine="560" w:firstLineChars="200"/>
        <w:rPr>
          <w:rFonts w:ascii="黑体" w:hAnsi="黑体" w:eastAsia="黑体" w:cs="黑体"/>
          <w:bCs/>
          <w:color w:val="000000" w:themeColor="text1"/>
          <w:sz w:val="28"/>
          <w:szCs w:val="28"/>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一、总体情况</w:t>
      </w:r>
    </w:p>
    <w:p>
      <w:pPr>
        <w:widowControl/>
        <w:shd w:val="clear" w:color="auto" w:fill="FFFFFF"/>
        <w:wordWrap w:val="0"/>
        <w:spacing w:line="450" w:lineRule="atLeast"/>
        <w:ind w:firstLine="525"/>
        <w:rPr>
          <w:rFonts w:hint="eastAsia" w:ascii="宋体" w:hAnsi="宋体" w:cs="宋体"/>
          <w:color w:val="333333"/>
          <w:kern w:val="0"/>
          <w:sz w:val="26"/>
          <w:szCs w:val="26"/>
        </w:rPr>
      </w:pPr>
      <w:r>
        <w:rPr>
          <w:rFonts w:hint="eastAsia" w:ascii="宋体" w:hAnsi="宋体" w:cs="宋体"/>
          <w:b/>
          <w:color w:val="333333"/>
          <w:kern w:val="0"/>
          <w:sz w:val="26"/>
          <w:szCs w:val="26"/>
        </w:rPr>
        <w:t>（一）主动公开。</w:t>
      </w:r>
      <w:r>
        <w:rPr>
          <w:rFonts w:hint="eastAsia" w:ascii="宋体" w:hAnsi="宋体" w:cs="宋体"/>
          <w:color w:val="333333"/>
          <w:kern w:val="0"/>
          <w:sz w:val="26"/>
          <w:szCs w:val="26"/>
        </w:rPr>
        <w:t>202</w:t>
      </w:r>
      <w:r>
        <w:rPr>
          <w:rFonts w:hint="eastAsia" w:ascii="宋体" w:hAnsi="宋体" w:cs="宋体"/>
          <w:color w:val="333333"/>
          <w:kern w:val="0"/>
          <w:sz w:val="26"/>
          <w:szCs w:val="26"/>
          <w:lang w:val="en-US" w:eastAsia="zh-CN"/>
        </w:rPr>
        <w:t>2</w:t>
      </w:r>
      <w:r>
        <w:rPr>
          <w:rFonts w:hint="eastAsia" w:ascii="宋体" w:hAnsi="宋体" w:cs="宋体"/>
          <w:color w:val="333333"/>
          <w:kern w:val="0"/>
          <w:sz w:val="26"/>
          <w:szCs w:val="26"/>
        </w:rPr>
        <w:t>年，我镇紧紧围绕市委、市政府中心工作要求，加强政务公开管理，明确专人负责，扎实推进主动公开工作，突出做好就业、教育、医疗、养老、征地、公共文化等社会高度关注，涉及群众切身利益领域的信息，在政府信息公开平台上，主动公开政府信息7</w:t>
      </w:r>
      <w:r>
        <w:rPr>
          <w:rFonts w:hint="eastAsia" w:ascii="宋体" w:hAnsi="宋体" w:cs="宋体"/>
          <w:color w:val="333333"/>
          <w:kern w:val="0"/>
          <w:sz w:val="26"/>
          <w:szCs w:val="26"/>
          <w:lang w:val="en-US" w:eastAsia="zh-CN"/>
        </w:rPr>
        <w:t>2</w:t>
      </w:r>
      <w:r>
        <w:rPr>
          <w:rFonts w:hint="eastAsia" w:ascii="宋体" w:hAnsi="宋体" w:cs="宋体"/>
          <w:color w:val="333333"/>
          <w:kern w:val="0"/>
          <w:sz w:val="26"/>
          <w:szCs w:val="26"/>
        </w:rPr>
        <w:t>条。可通过</w:t>
      </w:r>
      <w:r>
        <w:rPr>
          <w:rFonts w:hint="eastAsia" w:ascii="宋体" w:hAnsi="宋体" w:cs="宋体"/>
          <w:color w:val="333333"/>
          <w:kern w:val="0"/>
          <w:sz w:val="26"/>
          <w:szCs w:val="26"/>
          <w:lang w:eastAsia="zh-CN"/>
        </w:rPr>
        <w:t>丰城</w:t>
      </w:r>
      <w:r>
        <w:rPr>
          <w:rFonts w:hint="eastAsia" w:ascii="宋体" w:hAnsi="宋体" w:cs="宋体"/>
          <w:color w:val="333333"/>
          <w:kern w:val="0"/>
          <w:sz w:val="26"/>
          <w:szCs w:val="26"/>
        </w:rPr>
        <w:t>市政府门户网站的“政府信息公开”栏目查询我单位主动公开的202</w:t>
      </w:r>
      <w:r>
        <w:rPr>
          <w:rFonts w:hint="eastAsia" w:ascii="宋体" w:hAnsi="宋体" w:cs="宋体"/>
          <w:color w:val="333333"/>
          <w:kern w:val="0"/>
          <w:sz w:val="26"/>
          <w:szCs w:val="26"/>
          <w:lang w:val="en-US" w:eastAsia="zh-CN"/>
        </w:rPr>
        <w:t>2</w:t>
      </w:r>
      <w:r>
        <w:rPr>
          <w:rFonts w:hint="eastAsia" w:ascii="宋体" w:hAnsi="宋体" w:cs="宋体"/>
          <w:color w:val="333333"/>
          <w:kern w:val="0"/>
          <w:sz w:val="26"/>
          <w:szCs w:val="26"/>
        </w:rPr>
        <w:t>年政府信息。</w:t>
      </w:r>
    </w:p>
    <w:p>
      <w:pPr>
        <w:widowControl/>
        <w:shd w:val="clear" w:color="auto" w:fill="FFFFFF"/>
        <w:wordWrap w:val="0"/>
        <w:spacing w:line="450" w:lineRule="atLeast"/>
        <w:ind w:firstLine="525"/>
        <w:rPr>
          <w:rFonts w:ascii="宋体" w:hAnsi="宋体" w:cs="宋体"/>
          <w:color w:val="333333"/>
          <w:kern w:val="0"/>
          <w:sz w:val="26"/>
          <w:szCs w:val="26"/>
        </w:rPr>
      </w:pPr>
      <w:r>
        <w:rPr>
          <w:rFonts w:hint="eastAsia" w:ascii="宋体" w:hAnsi="宋体" w:cs="宋体"/>
          <w:b/>
          <w:color w:val="333333"/>
          <w:kern w:val="0"/>
          <w:sz w:val="26"/>
          <w:szCs w:val="26"/>
        </w:rPr>
        <w:t>（二）依申请公开。</w:t>
      </w:r>
      <w:r>
        <w:rPr>
          <w:rFonts w:hint="eastAsia" w:ascii="宋体" w:hAnsi="宋体" w:cs="宋体"/>
          <w:color w:val="333333"/>
          <w:kern w:val="0"/>
          <w:sz w:val="26"/>
          <w:szCs w:val="26"/>
        </w:rPr>
        <w:t>202</w:t>
      </w:r>
      <w:r>
        <w:rPr>
          <w:rFonts w:hint="eastAsia" w:ascii="宋体" w:hAnsi="宋体" w:cs="宋体"/>
          <w:color w:val="333333"/>
          <w:kern w:val="0"/>
          <w:sz w:val="26"/>
          <w:szCs w:val="26"/>
          <w:lang w:val="en-US" w:eastAsia="zh-CN"/>
        </w:rPr>
        <w:t>2</w:t>
      </w:r>
      <w:r>
        <w:rPr>
          <w:rFonts w:hint="eastAsia" w:ascii="宋体" w:hAnsi="宋体" w:cs="宋体"/>
          <w:color w:val="333333"/>
          <w:kern w:val="0"/>
          <w:sz w:val="26"/>
          <w:szCs w:val="26"/>
        </w:rPr>
        <w:t>年无依申请公开政府信息，未向公民、法人和其他组织收取任何与政府信息公开工作相关的费用；未收到有关政府信息公开工作的举报、投诉、行政复议或行政诉讼。</w:t>
      </w:r>
    </w:p>
    <w:p>
      <w:pPr>
        <w:widowControl/>
        <w:shd w:val="clear" w:color="auto" w:fill="FFFFFF"/>
        <w:wordWrap w:val="0"/>
        <w:spacing w:line="450" w:lineRule="atLeast"/>
        <w:ind w:firstLine="525"/>
        <w:rPr>
          <w:rFonts w:hint="eastAsia" w:ascii="宋体" w:hAnsi="宋体" w:cs="宋体"/>
          <w:color w:val="333333"/>
          <w:kern w:val="0"/>
          <w:sz w:val="26"/>
          <w:szCs w:val="26"/>
        </w:rPr>
      </w:pPr>
      <w:r>
        <w:rPr>
          <w:rFonts w:hint="eastAsia" w:ascii="宋体" w:hAnsi="宋体" w:cs="宋体"/>
          <w:b/>
          <w:color w:val="333333"/>
          <w:kern w:val="0"/>
          <w:sz w:val="26"/>
          <w:szCs w:val="26"/>
        </w:rPr>
        <w:t>（三）政府信息管理。</w:t>
      </w:r>
      <w:r>
        <w:rPr>
          <w:rFonts w:hint="eastAsia" w:ascii="宋体" w:hAnsi="宋体" w:cs="宋体"/>
          <w:color w:val="333333"/>
          <w:kern w:val="0"/>
          <w:sz w:val="26"/>
          <w:szCs w:val="26"/>
        </w:rPr>
        <w:t>202</w:t>
      </w:r>
      <w:r>
        <w:rPr>
          <w:rFonts w:hint="eastAsia" w:ascii="宋体" w:hAnsi="宋体" w:cs="宋体"/>
          <w:color w:val="333333"/>
          <w:kern w:val="0"/>
          <w:sz w:val="26"/>
          <w:szCs w:val="26"/>
          <w:lang w:val="en-US" w:eastAsia="zh-CN"/>
        </w:rPr>
        <w:t>2</w:t>
      </w:r>
      <w:r>
        <w:rPr>
          <w:rFonts w:hint="eastAsia" w:ascii="宋体" w:hAnsi="宋体" w:cs="宋体"/>
          <w:color w:val="333333"/>
          <w:kern w:val="0"/>
          <w:sz w:val="26"/>
          <w:szCs w:val="26"/>
        </w:rPr>
        <w:t>年度我镇不断强化政府信息公开工作，召开政务公开推进会，并召开培训业务会议，强化组织领导和机构队伍建设，将政府信息公开工作纳入重要议事日程，与经济社会管理工作紧密结合，同时明确一位负责同志分管信息公开工作，统筹做好政府信息公开、政策解读、舆情处置、政府网站、政务微博微信和政府公报等工作，并设立政务公开体验区，让群众更深入的了解各项政务工作。在此基础上，统筹做好政府信息公开、政策解读、舆情处置、政府网站、政务微博微信和政府公报等工作进一步规范了政府信息发布流程，加强信息发布前审查，强化网站信息安全管理，严格按照要求公开政府信息。</w:t>
      </w:r>
    </w:p>
    <w:p>
      <w:pPr>
        <w:widowControl/>
        <w:shd w:val="clear" w:color="auto" w:fill="FFFFFF"/>
        <w:wordWrap w:val="0"/>
        <w:spacing w:line="450" w:lineRule="atLeast"/>
        <w:ind w:firstLine="525"/>
        <w:rPr>
          <w:rFonts w:ascii="宋体" w:hAnsi="宋体" w:cs="宋体"/>
          <w:color w:val="333333"/>
          <w:kern w:val="0"/>
          <w:sz w:val="26"/>
          <w:szCs w:val="26"/>
        </w:rPr>
      </w:pPr>
      <w:r>
        <w:rPr>
          <w:rFonts w:hint="eastAsia" w:ascii="宋体" w:hAnsi="宋体" w:cs="宋体"/>
          <w:b/>
          <w:color w:val="333333"/>
          <w:kern w:val="0"/>
          <w:sz w:val="26"/>
          <w:szCs w:val="26"/>
        </w:rPr>
        <w:t>（四）政府信息公开平台建设。</w:t>
      </w:r>
      <w:r>
        <w:rPr>
          <w:rFonts w:hint="eastAsia" w:ascii="宋体" w:hAnsi="宋体" w:cs="宋体"/>
          <w:color w:val="333333"/>
          <w:kern w:val="0"/>
          <w:sz w:val="26"/>
          <w:szCs w:val="26"/>
        </w:rPr>
        <w:t>202</w:t>
      </w:r>
      <w:r>
        <w:rPr>
          <w:rFonts w:hint="eastAsia" w:ascii="宋体" w:hAnsi="宋体" w:cs="宋体"/>
          <w:color w:val="333333"/>
          <w:kern w:val="0"/>
          <w:sz w:val="26"/>
          <w:szCs w:val="26"/>
          <w:lang w:val="en-US" w:eastAsia="zh-CN"/>
        </w:rPr>
        <w:t>2</w:t>
      </w:r>
      <w:r>
        <w:rPr>
          <w:rFonts w:hint="eastAsia" w:ascii="宋体" w:hAnsi="宋体" w:cs="宋体"/>
          <w:color w:val="333333"/>
          <w:kern w:val="0"/>
          <w:sz w:val="26"/>
          <w:szCs w:val="26"/>
        </w:rPr>
        <w:t>年，我镇不断拓展信息公开渠道，积极推进公开平台建设，优化完善政府门户网站，并通过网络技术相结合的方式进行政务公开，利用信息公示栏、微信公众号、采取线上线下相结合等方式让其能够随时了解工作动态。</w:t>
      </w:r>
      <w:bookmarkStart w:id="0" w:name="_GoBack"/>
      <w:bookmarkEnd w:id="0"/>
    </w:p>
    <w:p>
      <w:pPr>
        <w:widowControl/>
        <w:shd w:val="clear" w:color="auto" w:fill="FFFFFF"/>
        <w:wordWrap w:val="0"/>
        <w:spacing w:line="450" w:lineRule="atLeast"/>
        <w:ind w:firstLine="525"/>
        <w:rPr>
          <w:rFonts w:hint="eastAsia" w:ascii="宋体" w:hAnsi="宋体" w:cs="宋体"/>
          <w:color w:val="333333"/>
          <w:kern w:val="0"/>
          <w:sz w:val="26"/>
          <w:szCs w:val="26"/>
        </w:rPr>
      </w:pPr>
      <w:r>
        <w:rPr>
          <w:rFonts w:hint="eastAsia" w:ascii="宋体" w:hAnsi="宋体" w:cs="宋体"/>
          <w:b/>
          <w:color w:val="333333"/>
          <w:kern w:val="0"/>
          <w:sz w:val="26"/>
          <w:szCs w:val="26"/>
        </w:rPr>
        <w:t>（五）监督保障。</w:t>
      </w:r>
      <w:r>
        <w:rPr>
          <w:rFonts w:hint="eastAsia" w:ascii="宋体" w:hAnsi="宋体" w:cs="宋体"/>
          <w:color w:val="333333"/>
          <w:kern w:val="0"/>
          <w:sz w:val="26"/>
          <w:szCs w:val="26"/>
        </w:rPr>
        <w:t>我镇建立政府信息公开指南和公开目录更新完善机制，加强信息公开保密审查制度建设，对拟公开的政府信息，要依法依规做好保密审查；涉及其他行政机关的，应与有关行政机关沟通确认，确保公开的政府信息准确一致，避免出现不实信息。加强政府网站与新媒体公开信息的监督，采取日常监督和定期监测通报结合。建立健全政府信息公开工作考核评议制度，强化问责制度，定期开展社会调查评议，了解社情民意，不断改进信息公开工作。建立政府信息公开举报办理工作制度，强化信息公开工作主管部门的监督职责。加强政府信息公开业务培训。提高了机关干部对于政务公开的政治站位及认识，进一步提高全镇政务公开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520" w:firstLineChars="200"/>
        <w:rPr>
          <w:rFonts w:hint="eastAsia" w:ascii="宋体" w:hAnsi="宋体" w:eastAsia="宋体" w:cs="宋体"/>
          <w:color w:val="333333"/>
          <w:kern w:val="0"/>
          <w:sz w:val="26"/>
          <w:szCs w:val="26"/>
          <w:lang w:val="en-US" w:eastAsia="zh-CN" w:bidi="ar-SA"/>
        </w:rPr>
      </w:pPr>
      <w:r>
        <w:rPr>
          <w:rFonts w:hint="eastAsia" w:ascii="宋体" w:hAnsi="宋体" w:eastAsia="宋体" w:cs="宋体"/>
          <w:color w:val="333333"/>
          <w:kern w:val="0"/>
          <w:sz w:val="26"/>
          <w:szCs w:val="26"/>
          <w:lang w:val="en-US" w:eastAsia="zh-CN" w:bidi="ar-SA"/>
        </w:rPr>
        <w:t>2022年全镇未发生责任追究情况，接受各单位和群众的社会监督、社会评议，社会群众对本镇信息公开评议结果较好。</w:t>
      </w:r>
    </w:p>
    <w:p>
      <w:pPr>
        <w:widowControl/>
        <w:shd w:val="clear" w:color="auto" w:fill="FFFFFF"/>
        <w:wordWrap w:val="0"/>
        <w:spacing w:line="450" w:lineRule="atLeast"/>
        <w:ind w:firstLine="525"/>
        <w:rPr>
          <w:rFonts w:hint="eastAsia" w:ascii="宋体" w:hAnsi="宋体" w:cs="宋体"/>
          <w:color w:val="333333"/>
          <w:kern w:val="0"/>
          <w:sz w:val="26"/>
          <w:szCs w:val="26"/>
        </w:rPr>
      </w:pPr>
    </w:p>
    <w:p>
      <w:pPr>
        <w:pStyle w:val="4"/>
        <w:shd w:val="clear" w:color="auto" w:fill="FFFFFF"/>
        <w:spacing w:before="0" w:beforeAutospacing="0" w:after="0" w:afterAutospacing="0" w:line="400" w:lineRule="exact"/>
        <w:ind w:left="42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二、主动公开政府信息情况</w:t>
      </w:r>
    </w:p>
    <w:p>
      <w:pPr>
        <w:pStyle w:val="4"/>
        <w:shd w:val="clear" w:color="auto" w:fill="FFFFFF"/>
        <w:spacing w:before="0" w:beforeAutospacing="0" w:after="0" w:afterAutospacing="0" w:line="400" w:lineRule="exact"/>
        <w:ind w:left="420"/>
        <w:rPr>
          <w:rStyle w:val="8"/>
          <w:rFonts w:ascii="黑体" w:hAnsi="黑体" w:eastAsia="黑体" w:cs="黑体"/>
          <w:b w:val="0"/>
          <w:bCs/>
          <w:color w:val="000000" w:themeColor="text1"/>
          <w:sz w:val="28"/>
          <w:szCs w:val="28"/>
          <w:shd w:val="clear" w:color="auto" w:fill="FFFFFF"/>
          <w14:textFill>
            <w14:solidFill>
              <w14:schemeClr w14:val="tx1"/>
            </w14:solidFill>
          </w14:textFill>
        </w:rPr>
      </w:pP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本年制发件数</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本年废止件数</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规章</w:t>
            </w:r>
          </w:p>
        </w:tc>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260"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行政规范性文件</w:t>
            </w:r>
          </w:p>
        </w:tc>
        <w:tc>
          <w:tcPr>
            <w:tcW w:w="2259" w:type="dxa"/>
          </w:tcPr>
          <w:p>
            <w:pPr>
              <w:pStyle w:val="4"/>
              <w:spacing w:before="0" w:beforeAutospacing="0" w:after="0" w:afterAutospacing="0" w:line="400" w:lineRule="exact"/>
              <w:rPr>
                <w:rStyle w:val="8"/>
                <w:rFonts w:hint="eastAsia" w:eastAsia="宋体"/>
                <w:b w:val="0"/>
                <w:bCs/>
                <w:color w:val="000000" w:themeColor="text1"/>
                <w:sz w:val="21"/>
                <w:szCs w:val="21"/>
                <w:shd w:val="clear" w:color="auto" w:fill="FFFFFF"/>
                <w:lang w:eastAsia="zh-CN"/>
                <w14:textFill>
                  <w14:solidFill>
                    <w14:schemeClr w14:val="tx1"/>
                  </w14:solidFill>
                </w14:textFill>
              </w:rPr>
            </w:pPr>
            <w:r>
              <w:rPr>
                <w:rStyle w:val="8"/>
                <w:rFonts w:hint="eastAsia"/>
                <w:b w:val="0"/>
                <w:bCs/>
                <w:color w:val="000000" w:themeColor="text1"/>
                <w:sz w:val="21"/>
                <w:szCs w:val="21"/>
                <w:shd w:val="clear" w:color="auto" w:fill="FFFFFF"/>
                <w:lang w:val="en-US" w:eastAsia="zh-CN"/>
                <w14:textFill>
                  <w14:solidFill>
                    <w14:schemeClr w14:val="tx1"/>
                  </w14:solidFill>
                </w14:textFill>
              </w:rPr>
              <w:t>4</w:t>
            </w:r>
          </w:p>
        </w:tc>
        <w:tc>
          <w:tcPr>
            <w:tcW w:w="2260" w:type="dxa"/>
          </w:tcPr>
          <w:p>
            <w:pPr>
              <w:pStyle w:val="4"/>
              <w:spacing w:before="0" w:beforeAutospacing="0" w:after="0" w:afterAutospacing="0" w:line="400" w:lineRule="exact"/>
              <w:rPr>
                <w:rStyle w:val="8"/>
                <w:rFonts w:hint="eastAsia" w:eastAsia="宋体"/>
                <w:b w:val="0"/>
                <w:bCs/>
                <w:color w:val="000000" w:themeColor="text1"/>
                <w:sz w:val="21"/>
                <w:szCs w:val="21"/>
                <w:shd w:val="clear" w:color="auto" w:fill="FFFFFF"/>
                <w:lang w:val="en-US" w:eastAsia="zh-CN"/>
                <w14:textFill>
                  <w14:solidFill>
                    <w14:schemeClr w14:val="tx1"/>
                  </w14:solidFill>
                </w14:textFill>
              </w:rPr>
            </w:pPr>
            <w:r>
              <w:rPr>
                <w:rStyle w:val="8"/>
                <w:rFonts w:hint="eastAsia"/>
                <w:b w:val="0"/>
                <w:bCs/>
                <w:color w:val="000000" w:themeColor="text1"/>
                <w:sz w:val="21"/>
                <w:szCs w:val="21"/>
                <w:shd w:val="clear" w:color="auto" w:fill="FFFFFF"/>
                <w:lang w:val="en-US" w:eastAsia="zh-CN"/>
                <w14:textFill>
                  <w14:solidFill>
                    <w14:schemeClr w14:val="tx1"/>
                  </w14:solidFill>
                </w14:textFill>
              </w:rPr>
              <w:t>2</w:t>
            </w:r>
          </w:p>
        </w:tc>
        <w:tc>
          <w:tcPr>
            <w:tcW w:w="2260" w:type="dxa"/>
          </w:tcPr>
          <w:p>
            <w:pPr>
              <w:pStyle w:val="4"/>
              <w:spacing w:before="0" w:beforeAutospacing="0" w:after="0" w:afterAutospacing="0" w:line="400" w:lineRule="exact"/>
              <w:rPr>
                <w:rStyle w:val="8"/>
                <w:rFonts w:hint="default" w:eastAsia="宋体"/>
                <w:b w:val="0"/>
                <w:bCs/>
                <w:color w:val="000000" w:themeColor="text1"/>
                <w:sz w:val="21"/>
                <w:szCs w:val="21"/>
                <w:shd w:val="clear" w:color="auto" w:fill="FFFFFF"/>
                <w:lang w:val="en-US" w:eastAsia="zh-CN"/>
                <w14:textFill>
                  <w14:solidFill>
                    <w14:schemeClr w14:val="tx1"/>
                  </w14:solidFill>
                </w14:textFill>
              </w:rPr>
            </w:pPr>
            <w:r>
              <w:rPr>
                <w:rStyle w:val="8"/>
                <w:rFonts w:hint="eastAsia"/>
                <w:b w:val="0"/>
                <w:bCs/>
                <w:color w:val="000000" w:themeColor="text1"/>
                <w:sz w:val="21"/>
                <w:szCs w:val="21"/>
                <w:shd w:val="clear" w:color="auto" w:fill="FFFFFF"/>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行政许可</w:t>
            </w:r>
          </w:p>
        </w:tc>
        <w:tc>
          <w:tcPr>
            <w:tcW w:w="6779" w:type="dxa"/>
            <w:gridSpan w:val="3"/>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行政处罚</w:t>
            </w:r>
          </w:p>
        </w:tc>
        <w:tc>
          <w:tcPr>
            <w:tcW w:w="6779" w:type="dxa"/>
            <w:gridSpan w:val="3"/>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行政强制</w:t>
            </w:r>
          </w:p>
        </w:tc>
        <w:tc>
          <w:tcPr>
            <w:tcW w:w="6779" w:type="dxa"/>
            <w:gridSpan w:val="3"/>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779" w:type="dxa"/>
            <w:gridSpan w:val="3"/>
          </w:tcPr>
          <w:p>
            <w:pPr>
              <w:pStyle w:val="4"/>
              <w:spacing w:before="0" w:beforeAutospacing="0" w:after="0" w:afterAutospacing="0" w:line="40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行政事业性收费</w:t>
            </w:r>
          </w:p>
        </w:tc>
        <w:tc>
          <w:tcPr>
            <w:tcW w:w="6779" w:type="dxa"/>
            <w:gridSpan w:val="3"/>
          </w:tcPr>
          <w:p>
            <w:pPr>
              <w:pStyle w:val="4"/>
              <w:spacing w:before="0" w:beforeAutospacing="0" w:after="0" w:afterAutospacing="0" w:line="40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bl>
    <w:p>
      <w:pPr>
        <w:pStyle w:val="4"/>
        <w:shd w:val="clear" w:color="auto" w:fill="FFFFFF"/>
        <w:spacing w:before="0" w:beforeAutospacing="0" w:after="0" w:afterAutospacing="0"/>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shd w:val="clear" w:color="auto" w:fill="FFFFFF"/>
        <w:spacing w:before="0" w:beforeAutospacing="0" w:after="0" w:afterAutospacing="0"/>
        <w:rPr>
          <w:rFonts w:ascii="微软雅黑" w:hAnsi="微软雅黑" w:eastAsia="微软雅黑" w:cs="微软雅黑"/>
          <w:color w:val="000000" w:themeColor="text1"/>
          <w:sz w:val="22"/>
          <w:szCs w:val="22"/>
          <w:shd w:val="clear" w:color="auto" w:fill="FFFFFF"/>
          <w14:textFill>
            <w14:solidFill>
              <w14:schemeClr w14:val="tx1"/>
            </w14:solidFill>
          </w14:textFill>
        </w:rPr>
      </w:pPr>
    </w:p>
    <w:p>
      <w:pPr>
        <w:pStyle w:val="4"/>
        <w:shd w:val="clear" w:color="auto" w:fill="FFFFFF"/>
        <w:spacing w:before="0" w:beforeAutospacing="0" w:after="0" w:afterAutospacing="0"/>
        <w:rPr>
          <w:rFonts w:ascii="微软雅黑" w:hAnsi="微软雅黑" w:eastAsia="微软雅黑" w:cs="微软雅黑"/>
          <w:color w:val="000000" w:themeColor="text1"/>
          <w:sz w:val="22"/>
          <w:szCs w:val="22"/>
          <w:shd w:val="clear" w:color="auto" w:fill="FFFFFF"/>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p>
    <w:p>
      <w:pPr>
        <w:pStyle w:val="4"/>
        <w:shd w:val="clear" w:color="auto" w:fill="FFFFFF"/>
        <w:spacing w:before="0" w:beforeAutospacing="0" w:after="0" w:afterAutospacing="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三、收到和处理政府信息公开申请情况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4"/>
              <w:spacing w:before="0" w:beforeAutospacing="0" w:after="0" w:afterAutospacing="0"/>
              <w:jc w:val="both"/>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（本列表的勾稽关系：第一项加第二项之和，等于第三项加第四项之和）</w:t>
            </w:r>
          </w:p>
        </w:tc>
        <w:tc>
          <w:tcPr>
            <w:tcW w:w="4463" w:type="dxa"/>
            <w:gridSpan w:val="7"/>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自然人</w:t>
            </w:r>
          </w:p>
        </w:tc>
        <w:tc>
          <w:tcPr>
            <w:tcW w:w="3270" w:type="dxa"/>
            <w:gridSpan w:val="5"/>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法人或其他组织</w:t>
            </w:r>
          </w:p>
        </w:tc>
        <w:tc>
          <w:tcPr>
            <w:tcW w:w="659"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商业企业</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科研机构</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社会公益组织</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法律服务机构</w:t>
            </w:r>
          </w:p>
        </w:tc>
        <w:tc>
          <w:tcPr>
            <w:tcW w:w="654" w:type="dxa"/>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其他</w:t>
            </w:r>
          </w:p>
        </w:tc>
        <w:tc>
          <w:tcPr>
            <w:tcW w:w="659"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一、本年新收政府信息公开申请数量</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二、上年结转政府信息公开申请数量</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三、本年度办理结果</w:t>
            </w:r>
          </w:p>
        </w:tc>
        <w:tc>
          <w:tcPr>
            <w:tcW w:w="3282" w:type="dxa"/>
            <w:gridSpan w:val="2"/>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(一)予以公开</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(二)部分公开（区分处理的，只计这一情形，不计其他情形）</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(三)不予公开</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1.属于国家秘密</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2.其他法律行政法规禁止公开</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3.危及“三安全一稳定”</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4.保护第三方合法权益</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5.属于三类内部事务信息</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6.属于四类过程性信息</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7.属于行政执法案卷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8.属于行政查询事项</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(四)无法提供</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1.本机关不掌握相关政府信息</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2.没有现成信息需要另行制作</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3.补正后申请内容仍不明确</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(五)不予公开</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1.信访举报投诉类申请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2.重复申请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3.要求提供公开出版物</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4.无正当理由大量反复申请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5.要求行政机关确认或新出具已获取信息</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(六)其他处理</w:t>
            </w: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1.申请人无正当理由逾期不补正、行政机关不再处理其政府信息公开申请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2.申请人逾期未按收费通知要求缴纳费用、行政机关不再处理其政府信息公开申请</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3.其他</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jc w:val="center"/>
              <w:rPr>
                <w:rStyle w:val="8"/>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(七)总计</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spacing w:before="0" w:beforeAutospacing="0" w:after="0" w:afterAutospacing="0"/>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四、结转下年度继续办理</w:t>
            </w:r>
          </w:p>
        </w:tc>
        <w:tc>
          <w:tcPr>
            <w:tcW w:w="53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9" w:type="dxa"/>
            <w:vAlign w:val="center"/>
          </w:tcPr>
          <w:p>
            <w:pPr>
              <w:pStyle w:val="4"/>
              <w:spacing w:before="0" w:beforeAutospacing="0" w:after="0" w:afterAutospacing="0"/>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bl>
    <w:p>
      <w:pPr>
        <w:pStyle w:val="4"/>
        <w:shd w:val="clear" w:color="auto" w:fill="FFFFFF"/>
        <w:spacing w:before="0" w:beforeAutospacing="0" w:after="0" w:afterAutospacing="0"/>
        <w:rPr>
          <w:rStyle w:val="8"/>
          <w:rFonts w:ascii="仿宋" w:hAnsi="仿宋" w:eastAsia="仿宋" w:cs="仿宋"/>
          <w:b w:val="0"/>
          <w:bCs/>
          <w:color w:val="000000" w:themeColor="text1"/>
          <w:sz w:val="18"/>
          <w:szCs w:val="18"/>
          <w:shd w:val="clear" w:color="auto" w:fill="FFFFFF"/>
          <w14:textFill>
            <w14:solidFill>
              <w14:schemeClr w14:val="tx1"/>
            </w14:solidFill>
          </w14:textFill>
        </w:rPr>
      </w:pPr>
    </w:p>
    <w:p>
      <w:pPr>
        <w:pStyle w:val="4"/>
        <w:shd w:val="clear" w:color="auto" w:fill="FFFFFF"/>
        <w:spacing w:before="0" w:beforeAutospacing="0" w:after="0" w:afterAutospacing="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行政复议</w:t>
            </w:r>
          </w:p>
        </w:tc>
        <w:tc>
          <w:tcPr>
            <w:tcW w:w="5682" w:type="dxa"/>
            <w:gridSpan w:val="10"/>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8" w:type="dxa"/>
            <w:vMerge w:val="restart"/>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c>
          <w:tcPr>
            <w:tcW w:w="2840"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未经复议直接起诉</w:t>
            </w:r>
          </w:p>
        </w:tc>
        <w:tc>
          <w:tcPr>
            <w:tcW w:w="2842" w:type="dxa"/>
            <w:gridSpan w:val="5"/>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8" w:type="dxa"/>
            <w:vAlign w:val="center"/>
          </w:tcPr>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维持</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纠正</w:t>
            </w:r>
          </w:p>
        </w:tc>
        <w:tc>
          <w:tcPr>
            <w:tcW w:w="568"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其他</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结果</w:t>
            </w:r>
          </w:p>
        </w:tc>
        <w:tc>
          <w:tcPr>
            <w:tcW w:w="569" w:type="dxa"/>
            <w:vAlign w:val="center"/>
          </w:tcPr>
          <w:p>
            <w:pPr>
              <w:pStyle w:val="4"/>
              <w:spacing w:before="0" w:beforeAutospacing="0" w:after="0" w:afterAutospacing="0"/>
              <w:jc w:val="center"/>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尚未</w:t>
            </w:r>
          </w:p>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审结</w:t>
            </w:r>
          </w:p>
        </w:tc>
        <w:tc>
          <w:tcPr>
            <w:tcW w:w="569" w:type="dxa"/>
            <w:vAlign w:val="center"/>
          </w:tcPr>
          <w:p>
            <w:pPr>
              <w:pStyle w:val="4"/>
              <w:spacing w:before="0" w:beforeAutospacing="0" w:after="0" w:afterAutospacing="0"/>
              <w:jc w:val="center"/>
              <w:rPr>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8"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9"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c>
          <w:tcPr>
            <w:tcW w:w="569" w:type="dxa"/>
          </w:tcPr>
          <w:p>
            <w:pPr>
              <w:pStyle w:val="4"/>
              <w:spacing w:before="0" w:beforeAutospacing="0" w:after="0" w:afterAutospacing="0"/>
              <w:jc w:val="both"/>
              <w:rPr>
                <w:rStyle w:val="8"/>
                <w:b w:val="0"/>
                <w:bCs/>
                <w:color w:val="000000" w:themeColor="text1"/>
                <w:sz w:val="15"/>
                <w:szCs w:val="15"/>
                <w:shd w:val="clear" w:color="auto" w:fill="FFFFFF"/>
                <w14:textFill>
                  <w14:solidFill>
                    <w14:schemeClr w14:val="tx1"/>
                  </w14:solidFill>
                </w14:textFill>
              </w:rPr>
            </w:pPr>
            <w:r>
              <w:rPr>
                <w:rStyle w:val="8"/>
                <w:rFonts w:hint="eastAsia"/>
                <w:b w:val="0"/>
                <w:bCs/>
                <w:color w:val="000000" w:themeColor="text1"/>
                <w:sz w:val="15"/>
                <w:szCs w:val="15"/>
                <w:shd w:val="clear" w:color="auto" w:fill="FFFFFF"/>
                <w14:textFill>
                  <w14:solidFill>
                    <w14:schemeClr w14:val="tx1"/>
                  </w14:solidFill>
                </w14:textFill>
              </w:rPr>
              <w:t>0</w:t>
            </w:r>
          </w:p>
        </w:tc>
      </w:tr>
    </w:tbl>
    <w:p>
      <w:pPr>
        <w:pStyle w:val="4"/>
        <w:shd w:val="clear" w:color="auto" w:fill="FFFFFF"/>
        <w:spacing w:before="0" w:beforeAutospacing="0" w:after="0" w:afterAutospacing="0"/>
        <w:rPr>
          <w:rFonts w:ascii="黑体" w:hAnsi="黑体" w:eastAsia="黑体" w:cs="黑体"/>
          <w:bCs/>
          <w:color w:val="000000" w:themeColor="text1"/>
          <w:sz w:val="28"/>
          <w:szCs w:val="28"/>
          <w14:textFill>
            <w14:solidFill>
              <w14:schemeClr w14:val="tx1"/>
            </w14:solidFill>
          </w14:textFill>
        </w:rPr>
      </w:pPr>
      <w:r>
        <w:rPr>
          <w:rStyle w:val="8"/>
          <w:rFonts w:hint="eastAsia" w:ascii="微软雅黑" w:hAnsi="微软雅黑" w:eastAsia="微软雅黑" w:cs="微软雅黑"/>
          <w:color w:val="000000" w:themeColor="text1"/>
          <w:sz w:val="22"/>
          <w:szCs w:val="22"/>
          <w:shd w:val="clear" w:color="auto" w:fill="FFFFFF"/>
          <w14:textFill>
            <w14:solidFill>
              <w14:schemeClr w14:val="tx1"/>
            </w14:solidFill>
          </w14:textFill>
        </w:rPr>
        <w:t>　　</w:t>
      </w: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五、存在的主要问题及改进情况</w:t>
      </w:r>
    </w:p>
    <w:p>
      <w:pPr>
        <w:pStyle w:val="4"/>
        <w:shd w:val="clear" w:color="auto" w:fill="FFFFFF"/>
        <w:spacing w:before="0" w:beforeAutospacing="0" w:after="0" w:afterAutospacing="0" w:line="450" w:lineRule="atLeast"/>
        <w:ind w:firstLine="555"/>
        <w:jc w:val="both"/>
        <w:rPr>
          <w:b/>
          <w:color w:val="333333"/>
          <w:sz w:val="26"/>
          <w:szCs w:val="26"/>
        </w:rPr>
      </w:pPr>
      <w:r>
        <w:rPr>
          <w:rFonts w:hint="eastAsia" w:ascii="微软雅黑" w:hAnsi="微软雅黑" w:eastAsia="微软雅黑" w:cs="微软雅黑"/>
          <w:bCs/>
          <w:color w:val="000000" w:themeColor="text1"/>
          <w:sz w:val="28"/>
          <w:szCs w:val="28"/>
          <w:shd w:val="clear" w:color="auto" w:fill="FFFFFF"/>
          <w14:textFill>
            <w14:solidFill>
              <w14:schemeClr w14:val="tx1"/>
            </w14:solidFill>
          </w14:textFill>
        </w:rPr>
        <w:t>　　</w:t>
      </w:r>
      <w:r>
        <w:rPr>
          <w:rFonts w:hint="eastAsia"/>
          <w:b/>
          <w:color w:val="333333"/>
          <w:sz w:val="26"/>
          <w:szCs w:val="26"/>
        </w:rPr>
        <w:t>（一）存在问题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default" w:ascii="宋体" w:hAnsi="宋体" w:eastAsia="宋体" w:cs="宋体"/>
          <w:color w:val="333333"/>
          <w:kern w:val="0"/>
          <w:sz w:val="26"/>
          <w:szCs w:val="26"/>
          <w:lang w:val="en-US" w:eastAsia="zh-CN" w:bidi="ar-SA"/>
        </w:rPr>
      </w:pPr>
      <w:r>
        <w:rPr>
          <w:rFonts w:hint="eastAsia" w:ascii="宋体" w:hAnsi="宋体" w:eastAsia="宋体" w:cs="宋体"/>
          <w:color w:val="333333"/>
          <w:kern w:val="0"/>
          <w:sz w:val="26"/>
          <w:szCs w:val="26"/>
          <w:lang w:val="en-US" w:eastAsia="zh-CN" w:bidi="ar-SA"/>
        </w:rPr>
        <w:t>政府信息公开工作存在的问题：一是政府信息公开的内容比较单一，有待进一步完善，主动信息公开的完整性、及时性有待提高。二是政府信息公开工作人员的理论水平有待进一步加强。</w:t>
      </w:r>
    </w:p>
    <w:p>
      <w:pPr>
        <w:pStyle w:val="4"/>
        <w:shd w:val="clear" w:color="auto" w:fill="FFFFFF"/>
        <w:spacing w:before="0" w:beforeAutospacing="0" w:after="0" w:afterAutospacing="0" w:line="450" w:lineRule="atLeast"/>
        <w:ind w:firstLine="555"/>
        <w:jc w:val="both"/>
        <w:rPr>
          <w:b/>
          <w:color w:val="333333"/>
          <w:sz w:val="26"/>
          <w:szCs w:val="26"/>
        </w:rPr>
      </w:pPr>
      <w:r>
        <w:rPr>
          <w:rFonts w:hint="eastAsia"/>
          <w:b/>
          <w:color w:val="333333"/>
          <w:sz w:val="26"/>
          <w:szCs w:val="26"/>
        </w:rPr>
        <w:t>（二）改进措施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default" w:ascii="宋体" w:hAnsi="宋体" w:eastAsia="宋体" w:cs="宋体"/>
          <w:color w:val="333333"/>
          <w:kern w:val="0"/>
          <w:sz w:val="26"/>
          <w:szCs w:val="26"/>
          <w:lang w:val="en-US" w:eastAsia="zh-CN" w:bidi="ar-SA"/>
        </w:rPr>
      </w:pPr>
      <w:r>
        <w:rPr>
          <w:rFonts w:hint="eastAsia" w:ascii="宋体" w:hAnsi="宋体" w:eastAsia="宋体" w:cs="宋体"/>
          <w:color w:val="333333"/>
          <w:kern w:val="0"/>
          <w:sz w:val="26"/>
          <w:szCs w:val="26"/>
          <w:lang w:val="en-US" w:eastAsia="zh-CN" w:bidi="ar-SA"/>
        </w:rPr>
        <w:t>一是注重政府信息公开的时效。对于各部门日常需要公开的信息，要和部门具办人员沟通好，确保及时获得信息进行公开。二是注重培养政府信息公开工作队伍。定期对政府信息专职人员开展业务培训，组织学习《条例》等文件，不断提高政务公开工作人员的综合素质和业务能力。</w:t>
      </w:r>
    </w:p>
    <w:p>
      <w:pPr>
        <w:pStyle w:val="4"/>
        <w:shd w:val="clear" w:color="auto" w:fill="FFFFFF"/>
        <w:spacing w:before="0" w:beforeAutospacing="0" w:after="0" w:afterAutospacing="0" w:line="600" w:lineRule="exact"/>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Cs/>
          <w:color w:val="000000" w:themeColor="text1"/>
          <w:sz w:val="28"/>
          <w:szCs w:val="28"/>
          <w:shd w:val="clear" w:color="auto" w:fill="FFFFFF"/>
          <w14:textFill>
            <w14:solidFill>
              <w14:schemeClr w14:val="tx1"/>
            </w14:solidFill>
          </w14:textFill>
        </w:rPr>
        <w:t>　</w:t>
      </w:r>
      <w:r>
        <w:rPr>
          <w:rStyle w:val="8"/>
          <w:rFonts w:hint="eastAsia" w:ascii="微软雅黑" w:hAnsi="微软雅黑" w:eastAsia="微软雅黑" w:cs="微软雅黑"/>
          <w:b w:val="0"/>
          <w:bCs/>
          <w:color w:val="000000" w:themeColor="text1"/>
          <w:sz w:val="28"/>
          <w:szCs w:val="28"/>
          <w:shd w:val="clear" w:color="auto" w:fill="FFFFFF"/>
          <w14:textFill>
            <w14:solidFill>
              <w14:schemeClr w14:val="tx1"/>
            </w14:solidFill>
          </w14:textFill>
        </w:rPr>
        <w:t>　</w:t>
      </w: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六、其他需要报告的事项</w:t>
      </w:r>
    </w:p>
    <w:p>
      <w:pPr>
        <w:pStyle w:val="4"/>
        <w:keepNext w:val="0"/>
        <w:keepLines w:val="0"/>
        <w:widowControl/>
        <w:suppressLineNumbers w:val="0"/>
        <w:shd w:val="clear" w:fill="FFFFFF"/>
        <w:spacing w:before="0" w:beforeAutospacing="0" w:after="0" w:afterAutospacing="0" w:line="600" w:lineRule="exact"/>
        <w:ind w:left="0" w:right="0" w:firstLine="600" w:firstLineChars="200"/>
        <w:jc w:val="left"/>
      </w:pPr>
      <w:r>
        <w:rPr>
          <w:rFonts w:ascii="微软雅黑" w:hAnsi="微软雅黑" w:eastAsia="微软雅黑" w:cs="微软雅黑"/>
          <w:bCs/>
          <w:i w:val="0"/>
          <w:iCs w:val="0"/>
          <w:caps w:val="0"/>
          <w:color w:val="000000"/>
          <w:spacing w:val="0"/>
          <w:kern w:val="0"/>
          <w:sz w:val="30"/>
          <w:szCs w:val="30"/>
          <w:shd w:val="clear" w:fill="FFFFFF"/>
          <w:lang w:val="en-US" w:eastAsia="zh-CN" w:bidi="ar"/>
        </w:rPr>
        <w:t>我镇</w:t>
      </w:r>
      <w:r>
        <w:rPr>
          <w:rFonts w:hint="eastAsia" w:ascii="微软雅黑" w:hAnsi="微软雅黑" w:eastAsia="微软雅黑" w:cs="微软雅黑"/>
          <w:bCs/>
          <w:i w:val="0"/>
          <w:iCs w:val="0"/>
          <w:caps w:val="0"/>
          <w:color w:val="000000"/>
          <w:spacing w:val="0"/>
          <w:kern w:val="0"/>
          <w:sz w:val="30"/>
          <w:szCs w:val="30"/>
          <w:shd w:val="clear" w:fill="FFFFFF"/>
          <w:lang w:val="en-US" w:eastAsia="zh-CN" w:bidi="ar"/>
        </w:rPr>
        <w:t>严格按照国务院办公厅《政府信息公开信息处理费管理办法》（国办函〔2020〕109号）执行，信息处理费按照超额累进方式计算收费金额，采取按件计收或按量计收方式，2022年我镇信息处理费收费情况为零。</w:t>
      </w:r>
    </w:p>
    <w:p>
      <w:pPr>
        <w:pStyle w:val="4"/>
        <w:shd w:val="clear" w:color="auto" w:fill="FFFFFF"/>
        <w:spacing w:before="0" w:beforeAutospacing="0" w:after="0" w:afterAutospacing="0" w:line="600" w:lineRule="exact"/>
        <w:rPr>
          <w:bCs/>
          <w:color w:val="000000" w:themeColor="text1"/>
          <w:sz w:val="28"/>
          <w:szCs w:val="28"/>
          <w14:textFill>
            <w14:solidFill>
              <w14:schemeClr w14:val="tx1"/>
            </w14:solidFill>
          </w14:textFill>
        </w:rPr>
      </w:pPr>
    </w:p>
    <w:p/>
    <w:sectPr>
      <w:pgSz w:w="11906" w:h="16838"/>
      <w:pgMar w:top="2098" w:right="1689" w:bottom="1984"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MThmMDNjZTIzN2QzMzc1ODBiMGNiODI3OTBiMjkifQ=="/>
  </w:docVars>
  <w:rsids>
    <w:rsidRoot w:val="00F4411D"/>
    <w:rsid w:val="00120541"/>
    <w:rsid w:val="005C711C"/>
    <w:rsid w:val="005C73F7"/>
    <w:rsid w:val="0078320A"/>
    <w:rsid w:val="009476DE"/>
    <w:rsid w:val="00977071"/>
    <w:rsid w:val="00B70D8E"/>
    <w:rsid w:val="00E16399"/>
    <w:rsid w:val="00F4411D"/>
    <w:rsid w:val="017D31AE"/>
    <w:rsid w:val="08DA2D97"/>
    <w:rsid w:val="19976C94"/>
    <w:rsid w:val="22CB58FB"/>
    <w:rsid w:val="24D13E6F"/>
    <w:rsid w:val="29F05F05"/>
    <w:rsid w:val="357B16EF"/>
    <w:rsid w:val="3B76699D"/>
    <w:rsid w:val="4E787A3E"/>
    <w:rsid w:val="52972904"/>
    <w:rsid w:val="5B8322E4"/>
    <w:rsid w:val="6F983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qFormat/>
    <w:uiPriority w:val="0"/>
    <w:pPr>
      <w:tabs>
        <w:tab w:val="center" w:pos="4153"/>
        <w:tab w:val="right" w:pos="8306"/>
      </w:tabs>
      <w:snapToGrid w:val="0"/>
      <w:jc w:val="left"/>
    </w:pPr>
    <w:rPr>
      <w:sz w:val="18"/>
      <w:szCs w:val="18"/>
    </w:rPr>
  </w:style>
  <w:style w:type="paragraph" w:styleId="3">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autoRedefine/>
    <w:qFormat/>
    <w:uiPriority w:val="0"/>
    <w:rPr>
      <w:b/>
    </w:rPr>
  </w:style>
  <w:style w:type="character" w:customStyle="1" w:styleId="9">
    <w:name w:val="页眉 Char"/>
    <w:basedOn w:val="7"/>
    <w:link w:val="3"/>
    <w:autoRedefine/>
    <w:qFormat/>
    <w:uiPriority w:val="0"/>
    <w:rPr>
      <w:rFonts w:ascii="Calibri" w:hAnsi="Calibri" w:eastAsia="宋体" w:cs="Times New Roman"/>
      <w:kern w:val="2"/>
      <w:sz w:val="18"/>
      <w:szCs w:val="18"/>
    </w:rPr>
  </w:style>
  <w:style w:type="character" w:customStyle="1" w:styleId="10">
    <w:name w:val="页脚 Char"/>
    <w:basedOn w:val="7"/>
    <w:link w:val="2"/>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2321</Words>
  <Characters>2428</Characters>
  <Lines>19</Lines>
  <Paragraphs>5</Paragraphs>
  <TotalTime>1</TotalTime>
  <ScaleCrop>false</ScaleCrop>
  <LinksUpToDate>false</LinksUpToDate>
  <CharactersWithSpaces>2441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最初的恋爱（上塘）</cp:lastModifiedBy>
  <dcterms:modified xsi:type="dcterms:W3CDTF">2024-01-10T02:38:37Z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470F477AAD2C4CDBAEBBD3BC853984D6</vt:lpwstr>
  </property>
</Properties>
</file>