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龙津洲街道202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本报告根据《中华人民共和国政府信息公开条例》（国务院令711号）、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《中华人民共和国政府信息公开工作年度报告格式》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（国办公开办函〔2021〕30号）等相关文件要求，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汇总本单位在丰城市政府网站、政府信息公开平台数据，由龙津洲街道办事处办公室编制，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本年度报告中所列数据统计期限自202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3年1月1日至2023年12月31日止，并通过丰城市人民政府门户网站中“政府信息公开年报”栏目（网址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http://www.jxfc.gov.cn/fcsrmzf/zfxxgkndbg/202201/7df87f0436cd43529e4b3f590f8831d2.shtml）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等平台向社会主动公开，如对本年报有疑问，请与龙津洲街道办事处办公室联系（地址：丰城市高新东大道1号，电话：0795-6588001）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5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7"/>
          <w:rFonts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（一）主动公开情况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通过丰城市人民政府网站主动公开信息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条，其中工作动态141条、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政策文件和解读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3条、公开指南1条、规划计划1条、人事信息4条、财政信息2条。通过丰城网络问政网站发布主题帖125条，按时回复网友提问12条，回复率达100%。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（二）依申请公开工作情况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1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2021年，龙津洲街道完善了依申请公开制度，明确了依申请公开的受理责任股室和受理程序，2021年我街共受理依申请公开0件。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政务公开实行动态管理，将主动公开目录作为公开政府信息的重要依据，以强化政府信息资源的规范化超标准化管理。对规范性文件等印发前的征求意见、印发后的公开发布和政策解读等进行明确规定。严格落实信息发布审核制度，严把信息发布审核关，坚决杜绝涉密信息上网，开展自查自纠活动，对可能涉及公民个人隐私的栏目进行全覆盖无盲区排查，确保公民个人隐私或敏感信息不通过信息公开网泄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坚持以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龙津洲街道办事处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门户网站为第一公开平台，开齐相关栏目，提供统一的互动交流和政务服务在线办事入口，便利企业和服务群众，提高政府信息公开影响力。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1.加强组织保障。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街道主要领导高度重视政务公开工作，形成主要领导负总责，分管领导主抓，党政办专人具体负责的工作机制。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2.强化监督考核。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在实行机关干部差异化绩效考核基础上，提升政府信息公开工作纳入绩效考核体系中的占比，以上级主管部门每季度通报为重要依据，实行百分制打分。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3.社会评议情况。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主动接受各单位和群众的社会监督及社会评议，在街道机关、7个社区党群服务中心设立政府信息公开工作建议评议箱，收集意见建议11条，评议总体结果优秀，满意度达99.4%，无差评反馈。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562" w:firstLineChars="200"/>
        <w:jc w:val="both"/>
        <w:textAlignment w:val="auto"/>
        <w:rPr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4.责任追究结果情况。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全年未发生因工作失误被上级追究责任的情况。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560" w:firstLineChars="200"/>
        <w:textAlignment w:val="auto"/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</w:pPr>
      <w:r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20" w:right="0"/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</w:pPr>
    </w:p>
    <w:tbl>
      <w:tblPr>
        <w:tblStyle w:val="4"/>
        <w:tblW w:w="90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1"/>
        <w:gridCol w:w="2261"/>
        <w:gridCol w:w="2261"/>
        <w:gridCol w:w="22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第二十条第(一)项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信息内容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本年废止件数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行政规范性文件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第二十条第(五)项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行政许可</w:t>
            </w:r>
          </w:p>
        </w:tc>
        <w:tc>
          <w:tcPr>
            <w:tcW w:w="67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第二十条第(六)项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行政处罚</w:t>
            </w:r>
          </w:p>
        </w:tc>
        <w:tc>
          <w:tcPr>
            <w:tcW w:w="67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行政强制</w:t>
            </w:r>
          </w:p>
        </w:tc>
        <w:tc>
          <w:tcPr>
            <w:tcW w:w="67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0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第二十条第(八)项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本年收费金额(单位：万元)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行政事业性收费</w:t>
            </w:r>
          </w:p>
        </w:tc>
        <w:tc>
          <w:tcPr>
            <w:tcW w:w="67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  <w:r>
        <w:rPr>
          <w:rFonts w:ascii="微软雅黑" w:hAnsi="微软雅黑" w:eastAsia="微软雅黑" w:cs="微软雅黑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sz w:val="28"/>
          <w:szCs w:val="28"/>
        </w:rPr>
      </w:pPr>
      <w:r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629"/>
        <w:gridCol w:w="2632"/>
        <w:gridCol w:w="538"/>
        <w:gridCol w:w="657"/>
        <w:gridCol w:w="657"/>
        <w:gridCol w:w="657"/>
        <w:gridCol w:w="657"/>
        <w:gridCol w:w="657"/>
        <w:gridCol w:w="6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（本列表的勾稽关系：第一项加第二项之和，等于第三项加第四项之和）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商业企业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科研机构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法律服务机构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一、本年新收政府信息公开申请数量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二、上年结转政府信息公开申请数量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三、本年度办理结果</w:t>
            </w: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(一)予以公开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(二)部分公开（区分处理的，只计这一情形，不计其他情形）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(三)不予公开</w:t>
            </w: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1.属于国家秘密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2.其他法律行政法规禁止公开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3.危及“三安全一稳定”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4.保护第三方合法权益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5.属于三类内部事务信息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6.属于四类过程性信息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7.属于行政执法案卷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8.属于行政查询事项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(四)无法提供</w:t>
            </w: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1.本机关不掌握相关政府信息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2.没有现成信息需要另行制作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3.补正后申请内容仍不明确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(五)不予公开</w:t>
            </w: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1.信访举报投诉类申请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2.重复申请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3.要求提供公开出版物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4.无正当理由大量反复申请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5.要求行政机关确认或新出具已获取信息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(六)其他处理</w:t>
            </w: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3.其他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(七)总计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四、结转下年度继续办理</w:t>
            </w:r>
          </w:p>
        </w:tc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sz w:val="28"/>
          <w:szCs w:val="28"/>
        </w:rPr>
      </w:pPr>
      <w:r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4"/>
        <w:tblW w:w="87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9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行政复议</w:t>
            </w:r>
          </w:p>
        </w:tc>
        <w:tc>
          <w:tcPr>
            <w:tcW w:w="581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5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维持</w:t>
            </w:r>
          </w:p>
        </w:tc>
        <w:tc>
          <w:tcPr>
            <w:tcW w:w="5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纠正</w:t>
            </w:r>
          </w:p>
        </w:tc>
        <w:tc>
          <w:tcPr>
            <w:tcW w:w="5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</w:tc>
        <w:tc>
          <w:tcPr>
            <w:tcW w:w="5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总计</w:t>
            </w:r>
          </w:p>
        </w:tc>
        <w:tc>
          <w:tcPr>
            <w:tcW w:w="29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未经复议直接起诉</w:t>
            </w:r>
          </w:p>
        </w:tc>
        <w:tc>
          <w:tcPr>
            <w:tcW w:w="29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5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维持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纠正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审结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总计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维持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纠正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结果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审结</w:t>
            </w: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shd w:val="clear" w:fill="FFFFFF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60" w:firstLineChars="200"/>
        <w:textAlignment w:val="auto"/>
        <w:rPr>
          <w:sz w:val="28"/>
          <w:szCs w:val="28"/>
        </w:rPr>
      </w:pPr>
      <w:r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55"/>
        <w:jc w:val="both"/>
        <w:textAlignment w:val="auto"/>
        <w:rPr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shd w:val="clear" w:fill="FFFFFF"/>
        </w:rPr>
        <w:t> 1、存在的问题：</w:t>
      </w:r>
      <w:r>
        <w:rPr>
          <w:rFonts w:hint="eastAsia" w:ascii="仿宋_GB2312" w:hAnsi="仿宋_GB2312" w:eastAsia="仿宋_GB2312" w:cs="仿宋_GB2312"/>
          <w:color w:val="333333"/>
          <w:spacing w:val="0"/>
          <w:sz w:val="28"/>
          <w:szCs w:val="28"/>
          <w:shd w:val="clear" w:fill="FFFFFF"/>
        </w:rPr>
        <w:t>一是政府信息公开工作的及时性和内容的准确性还有待进一步提升；二是政府信息公开内容单一，主要是工作动态的发布。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5"/>
        <w:jc w:val="both"/>
        <w:textAlignment w:val="auto"/>
        <w:rPr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  <w:shd w:val="clear" w:fill="FFFFFF"/>
        </w:rPr>
        <w:t>2、改进情况：</w:t>
      </w:r>
      <w:r>
        <w:rPr>
          <w:rFonts w:hint="eastAsia" w:ascii="仿宋_GB2312" w:hAnsi="仿宋_GB2312" w:eastAsia="仿宋_GB2312" w:cs="仿宋_GB2312"/>
          <w:color w:val="333333"/>
          <w:spacing w:val="0"/>
          <w:sz w:val="28"/>
          <w:szCs w:val="28"/>
          <w:shd w:val="clear" w:fill="FFFFFF"/>
        </w:rPr>
        <w:t>一是加强学习培训。认真学习信息公开工作的文件和会议精神，根据市政府办信息公开提示自觉做好网站日常监管、加强网站巡检和监测，提升信息内容准确性、时效性，确保网站规范合格运行。二是拓宽政府信息公开覆盖面，进一步深化公开内容。把人民群众普遍关心、涉及群众利益的政府信息作为政府信息公开工作的重点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560" w:firstLineChars="200"/>
        <w:textAlignment w:val="auto"/>
        <w:rPr>
          <w:sz w:val="28"/>
          <w:szCs w:val="28"/>
        </w:rPr>
      </w:pPr>
      <w:r>
        <w:rPr>
          <w:rFonts w:hint="eastAsia" w:ascii="黑体" w:hAnsi="宋体" w:eastAsia="黑体" w:cs="黑体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28"/>
          <w:szCs w:val="28"/>
          <w:shd w:val="clear" w:fill="FFFFFF"/>
        </w:rPr>
        <w:t>我街道严格按照国务院办公厅《政府信息公开信息处理费管理办法》（国办函[2020]109号）执行，信息处理费按照超额累进方式计算收费金额，采取按件计收或按量计收方式，2021年我街道信息处理费收费情况为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2NhNjJiNjY2YjIwOGE0ZDZiMGY4Y2I3MGU2ZTIifQ=="/>
  </w:docVars>
  <w:rsids>
    <w:rsidRoot w:val="00000000"/>
    <w:rsid w:val="24585BBB"/>
    <w:rsid w:val="3DC05797"/>
    <w:rsid w:val="4E787A3E"/>
    <w:rsid w:val="5D7232B7"/>
    <w:rsid w:val="634F6304"/>
    <w:rsid w:val="66BA5A3C"/>
    <w:rsid w:val="76D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Administrator.BF-20210323HTCR</dc:creator>
  <cp:lastModifiedBy>朕</cp:lastModifiedBy>
  <dcterms:modified xsi:type="dcterms:W3CDTF">2024-01-23T03:11:38Z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2F611525DC704AC3AB268CE01E92E15A</vt:lpwstr>
  </property>
</Properties>
</file>