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丰城市河洲街道办事处</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2022年</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firstLineChars="200"/>
        <w:jc w:val="left"/>
      </w:pPr>
      <w:r>
        <w:rPr>
          <w:rFonts w:ascii="仿宋" w:hAnsi="仿宋" w:eastAsia="仿宋" w:cs="仿宋"/>
          <w:spacing w:val="0"/>
          <w:kern w:val="0"/>
          <w:sz w:val="28"/>
          <w:szCs w:val="28"/>
          <w:bdr w:val="none" w:color="auto" w:sz="0" w:space="0"/>
          <w:shd w:val="clear" w:fill="FFFFFF"/>
          <w:lang w:val="en-US" w:eastAsia="zh-CN" w:bidi="ar"/>
        </w:rPr>
        <w:t>本报告根据《中华人民共和国政府信息公开条例》（国务院令</w:t>
      </w:r>
      <w:r>
        <w:rPr>
          <w:rFonts w:hint="eastAsia" w:ascii="仿宋" w:hAnsi="仿宋" w:eastAsia="仿宋" w:cs="仿宋"/>
          <w:spacing w:val="0"/>
          <w:kern w:val="0"/>
          <w:sz w:val="28"/>
          <w:szCs w:val="28"/>
          <w:bdr w:val="none" w:color="auto" w:sz="0" w:space="0"/>
          <w:shd w:val="clear" w:fill="FFFFFF"/>
          <w:lang w:val="en-US" w:eastAsia="zh-CN" w:bidi="ar"/>
        </w:rPr>
        <w:t>711号）《国务院办公厅政府信息与政务公开办公室关于政府信息公开工作年度报告有关事项的通知》（国办公开办函[2019]60号）等相关文件要求，汇总本单位在丰城市政府网站、政府信息公开平台数据，由河洲街道党政办编制。报告主要包括主动公开、依申</w:t>
      </w:r>
      <w:bookmarkStart w:id="0" w:name="_GoBack"/>
      <w:bookmarkEnd w:id="0"/>
      <w:r>
        <w:rPr>
          <w:rFonts w:hint="eastAsia" w:ascii="仿宋" w:hAnsi="仿宋" w:eastAsia="仿宋" w:cs="仿宋"/>
          <w:spacing w:val="0"/>
          <w:kern w:val="0"/>
          <w:sz w:val="28"/>
          <w:szCs w:val="28"/>
          <w:bdr w:val="none" w:color="auto" w:sz="0" w:space="0"/>
          <w:shd w:val="clear" w:fill="FFFFFF"/>
          <w:lang w:val="en-US" w:eastAsia="zh-CN" w:bidi="ar"/>
        </w:rPr>
        <w:t>请公开、政府信息管理、政府信息公开平台建设、监督保障等方面。本年度报告中所列数据统计期限自2022年1月1日至2022年12月31日止，并通过丰城市人民政府门户网站中“政府信息公开年报”栏目（http://www.jxfc.gov.cn/fcsrmzf/zfxxgknbf2/202301/abf77dc2e56642f3a627b0643e32d18d.shtml）等平台向社会主动公开。如对本报告有任何疑问，请与河洲街道办事处党政办联系。（地址：丰城市紫云大道169号，电话：0795-6768778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ascii="黑体" w:hAnsi="宋体" w:eastAsia="黑体" w:cs="黑体"/>
          <w:i w:val="0"/>
          <w:caps w:val="0"/>
          <w:color w:val="000000"/>
          <w:spacing w:val="0"/>
          <w:kern w:val="0"/>
          <w:sz w:val="28"/>
          <w:szCs w:val="28"/>
          <w:bdr w:val="none" w:color="auto" w:sz="0" w:space="0"/>
          <w:shd w:val="clear" w:fill="FFFFFF"/>
          <w:lang w:val="en-US" w:eastAsia="zh-CN" w:bidi="ar"/>
        </w:rPr>
        <w:t>一、总体情况</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b/>
          <w:i w:val="0"/>
          <w:caps w:val="0"/>
          <w:color w:val="000000"/>
          <w:spacing w:val="0"/>
          <w:kern w:val="0"/>
          <w:sz w:val="30"/>
          <w:szCs w:val="30"/>
          <w:bdr w:val="none" w:color="auto" w:sz="0" w:space="0"/>
          <w:shd w:val="clear" w:fill="FFFFFF"/>
          <w:lang w:val="en-US" w:eastAsia="zh-CN" w:bidi="ar"/>
        </w:rPr>
        <w:t>（一）主动公开政府信息方面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2022年，河洲街道办事处在政府网站政务信息公开总计1534条，其中包括政府信息公开指南1条，法规文件15条，决策公开26条，执行公开230条，管理公开31条，服务公开6条，结果公开10条，监督保障1条，重点领域信息公开8条，村居务公开1177条，试点工作28条，政府信息公开年报1条。</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b/>
          <w:i w:val="0"/>
          <w:caps w:val="0"/>
          <w:color w:val="000000"/>
          <w:spacing w:val="0"/>
          <w:kern w:val="0"/>
          <w:sz w:val="30"/>
          <w:szCs w:val="30"/>
          <w:bdr w:val="none" w:color="auto" w:sz="0" w:space="0"/>
          <w:shd w:val="clear" w:fill="FFFFFF"/>
          <w:lang w:val="en-US" w:eastAsia="zh-CN" w:bidi="ar"/>
        </w:rPr>
        <w:t>（二）依申请公开方面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2022年，河洲街道办事处高度重视依申请公开工作，不断完善制度机制，坚持依法规范办理，狠抓依申请办理质量，切实保障公众知情权，积极化解社会矛盾，不断增强人民群众获得感和幸福感。本年度，河洲街道办事处共受理依申请公开2件。</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b/>
          <w:i w:val="0"/>
          <w:caps w:val="0"/>
          <w:color w:val="000000"/>
          <w:spacing w:val="0"/>
          <w:kern w:val="0"/>
          <w:sz w:val="30"/>
          <w:szCs w:val="30"/>
          <w:bdr w:val="none" w:color="auto" w:sz="0" w:space="0"/>
          <w:shd w:val="clear" w:fill="FFFFFF"/>
          <w:lang w:val="en-US" w:eastAsia="zh-CN" w:bidi="ar"/>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2022年，河洲街道办事处高度重视政府信息公开工作， 数次将政府信息公开工作列入重要议事项目，明确具体责任领导、相关科室负责人以及经办人，按照“三级”审核制度，严格把控政府信息的及时性、有效性、精准性，确保政府信息公开工作稳健推进。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（四）</w:t>
      </w:r>
      <w:r>
        <w:rPr>
          <w:rStyle w:val="4"/>
          <w:rFonts w:hint="eastAsia" w:ascii="仿宋" w:hAnsi="仿宋" w:eastAsia="仿宋" w:cs="仿宋"/>
          <w:spacing w:val="0"/>
          <w:sz w:val="30"/>
          <w:szCs w:val="30"/>
          <w:bdr w:val="none" w:color="auto" w:sz="0" w:space="0"/>
          <w:shd w:val="clear" w:fill="FFFFFF"/>
        </w:rPr>
        <w:t>信息公开平台建设方面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2022年，河洲街道牢固树立“搞试点就要创亮点”的理念，突出高标准、严要求、出特色，努力答好“必答题”，探索勇争“拔高分”。在建设过程中，坚持“标准化先行、规范化跟进、特色化提升”推进思路，立足实际、着眼为民、积极探索、不断创新，逐步形成了政务公开“1＋2＋3＋4”的河洲模式，同时在今年7月7日入选江西省政务公开“十县百乡”优秀案例展示（第六期），7月17日入选宜春市政务公开“十县百乡”示范创建（第三期）。</w:t>
      </w:r>
    </w:p>
    <w:p>
      <w:pPr>
        <w:keepNext w:val="0"/>
        <w:keepLines w:val="0"/>
        <w:widowControl/>
        <w:suppressLineNumbers w:val="0"/>
        <w:spacing w:before="0" w:beforeAutospacing="1" w:after="0" w:afterAutospacing="1"/>
        <w:ind w:left="0" w:right="0"/>
        <w:jc w:val="left"/>
      </w:pPr>
      <w:r>
        <w:rPr>
          <w:rFonts w:hint="eastAsia" w:ascii="仿宋" w:hAnsi="仿宋" w:eastAsia="仿宋" w:cs="仿宋"/>
          <w:b/>
          <w:i w:val="0"/>
          <w:caps w:val="0"/>
          <w:color w:val="000000"/>
          <w:spacing w:val="0"/>
          <w:kern w:val="2"/>
          <w:sz w:val="28"/>
          <w:szCs w:val="28"/>
          <w:shd w:val="clear" w:fill="FFFFFF"/>
          <w:lang w:val="en-US" w:eastAsia="zh-CN" w:bidi="ar"/>
        </w:rPr>
        <w:t>    “1”，指一套标准体系。</w:t>
      </w:r>
    </w:p>
    <w:p>
      <w:pPr>
        <w:keepNext w:val="0"/>
        <w:keepLines w:val="0"/>
        <w:widowControl/>
        <w:suppressLineNumbers w:val="0"/>
        <w:spacing w:before="0" w:beforeAutospacing="1" w:after="0" w:afterAutospacing="1"/>
        <w:ind w:left="0" w:right="0"/>
        <w:jc w:val="left"/>
      </w:pPr>
      <w:r>
        <w:rPr>
          <w:rFonts w:hint="eastAsia" w:ascii="仿宋" w:hAnsi="仿宋" w:eastAsia="仿宋" w:cs="仿宋"/>
          <w:b/>
          <w:i w:val="0"/>
          <w:caps w:val="0"/>
          <w:color w:val="000000"/>
          <w:spacing w:val="0"/>
          <w:kern w:val="2"/>
          <w:sz w:val="28"/>
          <w:szCs w:val="28"/>
          <w:shd w:val="clear" w:fill="FFFFFF"/>
          <w:lang w:val="en-US" w:eastAsia="zh-CN" w:bidi="ar"/>
        </w:rPr>
        <w:t>    “2”，指“线上”和“线下”两个平台。</w:t>
      </w:r>
    </w:p>
    <w:p>
      <w:pPr>
        <w:keepNext w:val="0"/>
        <w:keepLines w:val="0"/>
        <w:widowControl/>
        <w:suppressLineNumbers w:val="0"/>
        <w:spacing w:before="0" w:beforeAutospacing="1" w:after="0" w:afterAutospacing="1"/>
        <w:ind w:left="0" w:right="0"/>
        <w:jc w:val="left"/>
      </w:pPr>
      <w:r>
        <w:rPr>
          <w:rFonts w:hint="eastAsia" w:ascii="仿宋" w:hAnsi="仿宋" w:eastAsia="仿宋" w:cs="仿宋"/>
          <w:b/>
          <w:i w:val="0"/>
          <w:caps w:val="0"/>
          <w:color w:val="000000"/>
          <w:spacing w:val="0"/>
          <w:kern w:val="2"/>
          <w:sz w:val="28"/>
          <w:szCs w:val="28"/>
          <w:shd w:val="clear" w:fill="FFFFFF"/>
          <w:lang w:val="en-US" w:eastAsia="zh-CN" w:bidi="ar"/>
        </w:rPr>
        <w:t>    “3”，是指一网一专区一群。</w:t>
      </w:r>
    </w:p>
    <w:p>
      <w:pPr>
        <w:keepNext w:val="0"/>
        <w:keepLines w:val="0"/>
        <w:widowControl/>
        <w:suppressLineNumbers w:val="0"/>
        <w:spacing w:before="0" w:beforeAutospacing="1" w:after="0" w:afterAutospacing="1"/>
        <w:ind w:left="0" w:right="0"/>
        <w:jc w:val="left"/>
      </w:pPr>
      <w:r>
        <w:rPr>
          <w:rFonts w:hint="eastAsia" w:ascii="仿宋" w:hAnsi="仿宋" w:eastAsia="仿宋" w:cs="仿宋"/>
          <w:b/>
          <w:i w:val="0"/>
          <w:caps w:val="0"/>
          <w:color w:val="000000"/>
          <w:spacing w:val="0"/>
          <w:kern w:val="2"/>
          <w:sz w:val="28"/>
          <w:szCs w:val="28"/>
          <w:shd w:val="clear" w:fill="FFFFFF"/>
          <w:lang w:val="en-US" w:eastAsia="zh-CN" w:bidi="ar"/>
        </w:rPr>
        <w:t>    “4”，是指河洲街道政务公开标准化规范化建设的四个目标。</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560"/>
        <w:jc w:val="left"/>
      </w:pPr>
      <w:r>
        <w:rPr>
          <w:rFonts w:hint="eastAsia" w:ascii="仿宋" w:hAnsi="仿宋" w:eastAsia="仿宋" w:cs="仿宋"/>
          <w:b/>
          <w:i w:val="0"/>
          <w:caps w:val="0"/>
          <w:color w:val="000000"/>
          <w:spacing w:val="0"/>
          <w:kern w:val="0"/>
          <w:sz w:val="30"/>
          <w:szCs w:val="30"/>
          <w:bdr w:val="none" w:color="auto" w:sz="0" w:space="0"/>
          <w:shd w:val="clear" w:fill="FFFFFF"/>
          <w:lang w:val="en-US" w:eastAsia="zh-CN" w:bidi="ar"/>
        </w:rPr>
        <w:t>（五）监督保障方面</w:t>
      </w:r>
    </w:p>
    <w:p>
      <w:pPr>
        <w:pStyle w:val="2"/>
        <w:keepNext w:val="0"/>
        <w:keepLines w:val="0"/>
        <w:widowControl/>
        <w:suppressLineNumbers w:val="0"/>
        <w:spacing w:before="46" w:beforeAutospacing="0" w:after="0" w:afterAutospacing="0" w:line="450" w:lineRule="atLeast"/>
        <w:ind w:left="0" w:right="0" w:firstLine="555"/>
        <w:jc w:val="both"/>
      </w:pPr>
      <w:r>
        <w:rPr>
          <w:rFonts w:hint="eastAsia" w:ascii="仿宋" w:hAnsi="仿宋" w:eastAsia="仿宋" w:cs="仿宋"/>
          <w:i w:val="0"/>
          <w:caps w:val="0"/>
          <w:color w:val="000000"/>
          <w:spacing w:val="0"/>
          <w:kern w:val="0"/>
          <w:sz w:val="30"/>
          <w:szCs w:val="30"/>
          <w:shd w:val="clear" w:fill="FFFFFF"/>
          <w:lang w:val="en-US" w:eastAsia="zh-CN" w:bidi="ar"/>
        </w:rPr>
        <w:t>一是明确责任，建立健全组织领导机制。</w:t>
      </w:r>
    </w:p>
    <w:p>
      <w:pPr>
        <w:pStyle w:val="2"/>
        <w:keepNext w:val="0"/>
        <w:keepLines w:val="0"/>
        <w:widowControl/>
        <w:suppressLineNumbers w:val="0"/>
        <w:spacing w:before="46" w:beforeAutospacing="0" w:after="0" w:afterAutospacing="0" w:line="450" w:lineRule="atLeast"/>
        <w:ind w:left="0" w:right="0" w:firstLine="555"/>
        <w:jc w:val="both"/>
      </w:pPr>
      <w:r>
        <w:rPr>
          <w:rFonts w:hint="eastAsia" w:ascii="仿宋" w:hAnsi="仿宋" w:eastAsia="仿宋" w:cs="仿宋"/>
          <w:i w:val="0"/>
          <w:caps w:val="0"/>
          <w:color w:val="000000"/>
          <w:spacing w:val="0"/>
          <w:kern w:val="0"/>
          <w:sz w:val="30"/>
          <w:szCs w:val="30"/>
          <w:shd w:val="clear" w:fill="FFFFFF"/>
          <w:lang w:val="en-US" w:eastAsia="zh-CN" w:bidi="ar"/>
        </w:rPr>
        <w:t>二是强化监督，完善政府信息公开制度</w:t>
      </w:r>
      <w:r>
        <w:rPr>
          <w:rFonts w:hint="eastAsia" w:ascii="仿宋" w:hAnsi="仿宋" w:eastAsia="仿宋" w:cs="仿宋"/>
          <w:i w:val="0"/>
          <w:caps w:val="0"/>
          <w:color w:val="000000"/>
          <w:spacing w:val="0"/>
          <w:kern w:val="0"/>
          <w:sz w:val="30"/>
          <w:szCs w:val="30"/>
          <w:shd w:val="clear" w:fill="FFFFFF"/>
          <w:lang w:val="en-US" w:eastAsia="zh-CN" w:bidi="ar"/>
        </w:rPr>
        <w:t>。</w:t>
      </w:r>
    </w:p>
    <w:p>
      <w:pPr>
        <w:pStyle w:val="2"/>
        <w:keepNext w:val="0"/>
        <w:keepLines w:val="0"/>
        <w:widowControl/>
        <w:suppressLineNumbers w:val="0"/>
        <w:spacing w:before="46" w:beforeAutospacing="0" w:after="0" w:afterAutospacing="0" w:line="450" w:lineRule="atLeast"/>
        <w:ind w:left="0" w:right="0" w:firstLine="555"/>
        <w:jc w:val="both"/>
      </w:pPr>
      <w:r>
        <w:rPr>
          <w:rFonts w:hint="eastAsia" w:ascii="仿宋" w:hAnsi="仿宋" w:eastAsia="仿宋" w:cs="仿宋"/>
          <w:i w:val="0"/>
          <w:caps w:val="0"/>
          <w:color w:val="000000"/>
          <w:spacing w:val="0"/>
          <w:kern w:val="0"/>
          <w:sz w:val="30"/>
          <w:szCs w:val="30"/>
          <w:shd w:val="clear" w:fill="FFFFFF"/>
          <w:lang w:val="en-US" w:eastAsia="zh-CN" w:bidi="ar"/>
        </w:rPr>
        <w:t>三是纳入考核，健全政府信息公开奖惩机制。</w:t>
      </w:r>
    </w:p>
    <w:p>
      <w:pPr>
        <w:pStyle w:val="2"/>
        <w:keepNext w:val="0"/>
        <w:keepLines w:val="0"/>
        <w:widowControl/>
        <w:suppressLineNumbers w:val="0"/>
        <w:spacing w:before="46" w:beforeAutospacing="0" w:after="0" w:afterAutospacing="0" w:line="450" w:lineRule="atLeast"/>
        <w:ind w:left="0" w:right="0" w:firstLine="555"/>
        <w:jc w:val="both"/>
      </w:pPr>
      <w:r>
        <w:rPr>
          <w:rFonts w:hint="eastAsia" w:ascii="仿宋" w:hAnsi="仿宋" w:eastAsia="仿宋" w:cs="仿宋"/>
          <w:i w:val="0"/>
          <w:caps w:val="0"/>
          <w:color w:val="000000"/>
          <w:spacing w:val="0"/>
          <w:kern w:val="0"/>
          <w:sz w:val="30"/>
          <w:szCs w:val="30"/>
          <w:shd w:val="clear" w:fill="FFFFFF"/>
          <w:lang w:val="en-US" w:eastAsia="zh-CN" w:bidi="ar"/>
        </w:rPr>
        <w:t>2022年度，河洲街道在政务公开工作考核中成绩较好，期间未发生一例政府公开责任追究情况，未收到一起民众投诉事件。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00" w:lineRule="exact"/>
        <w:ind w:left="420" w:leftChars="0" w:right="0" w:rightChars="0"/>
        <w:jc w:val="left"/>
      </w:pP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00" w:lineRule="exact"/>
        <w:ind w:left="420" w:leftChars="0" w:right="0" w:rightChars="0"/>
        <w:jc w:val="left"/>
      </w:pP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 </w:t>
      </w:r>
    </w:p>
    <w:tbl>
      <w:tblPr>
        <w:tblW w:w="9038" w:type="dxa"/>
        <w:jc w:val="center"/>
        <w:tblInd w:w="-25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259"/>
        <w:gridCol w:w="2259"/>
        <w:gridCol w:w="2260"/>
        <w:gridCol w:w="22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9038" w:type="dxa"/>
            <w:gridSpan w:val="4"/>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信息内容</w:t>
            </w:r>
          </w:p>
        </w:tc>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本年制发件数</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本年废止件数</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规章</w:t>
            </w:r>
          </w:p>
        </w:tc>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行政规范性文件</w:t>
            </w:r>
          </w:p>
        </w:tc>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c>
          <w:tcPr>
            <w:tcW w:w="2260"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9038" w:type="dxa"/>
            <w:gridSpan w:val="4"/>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信息内容</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6"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行政许可</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9038" w:type="dxa"/>
            <w:gridSpan w:val="4"/>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信息内容</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行政处罚</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行政强制</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9038" w:type="dxa"/>
            <w:gridSpan w:val="4"/>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信息内容</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7" w:hRule="atLeast"/>
          <w:jc w:val="center"/>
        </w:trPr>
        <w:tc>
          <w:tcPr>
            <w:tcW w:w="22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left"/>
            </w:pPr>
            <w:r>
              <w:rPr>
                <w:rFonts w:hint="eastAsia" w:ascii="宋体" w:hAnsi="宋体" w:eastAsia="宋体" w:cs="宋体"/>
                <w:b w:val="0"/>
                <w:bCs/>
                <w:i w:val="0"/>
                <w:caps w:val="0"/>
                <w:color w:val="000000"/>
                <w:spacing w:val="0"/>
                <w:kern w:val="0"/>
                <w:sz w:val="21"/>
                <w:szCs w:val="21"/>
                <w:shd w:val="clear" w:fill="FFFFFF"/>
                <w:lang w:val="en-US" w:eastAsia="zh-CN" w:bidi="ar"/>
              </w:rPr>
              <w:t>行政事业性收费</w:t>
            </w:r>
          </w:p>
        </w:tc>
        <w:tc>
          <w:tcPr>
            <w:tcW w:w="677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pStyle w:val="2"/>
              <w:keepNext w:val="0"/>
              <w:keepLines w:val="0"/>
              <w:widowControl/>
              <w:suppressLineNumbers w:val="0"/>
              <w:autoSpaceDE w:val="0"/>
              <w:autoSpaceDN/>
              <w:spacing w:before="0" w:beforeAutospacing="0" w:after="0" w:afterAutospacing="0" w:line="400" w:lineRule="exact"/>
              <w:ind w:left="0" w:right="0" w:rightChars="0"/>
              <w:jc w:val="center"/>
            </w:pPr>
            <w:r>
              <w:rPr>
                <w:rFonts w:hint="eastAsia" w:ascii="宋体" w:hAnsi="宋体" w:eastAsia="宋体" w:cs="宋体"/>
                <w:b w:val="0"/>
                <w:bCs/>
                <w:i w:val="0"/>
                <w:caps w:val="0"/>
                <w:color w:val="000000"/>
                <w:spacing w:val="0"/>
                <w:kern w:val="0"/>
                <w:sz w:val="21"/>
                <w:szCs w:val="21"/>
                <w:shd w:val="clear" w:fill="FFFFFF"/>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ascii="微软雅黑" w:hAnsi="微软雅黑" w:eastAsia="微软雅黑" w:cs="微软雅黑"/>
          <w:i w:val="0"/>
          <w:caps w:val="0"/>
          <w:color w:val="000000"/>
          <w:spacing w:val="0"/>
          <w:kern w:val="0"/>
          <w:sz w:val="22"/>
          <w:szCs w:val="2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三、收到和处理政府信息公开申请情况</w:t>
      </w:r>
    </w:p>
    <w:tbl>
      <w:tblPr>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77"/>
        <w:gridCol w:w="627"/>
        <w:gridCol w:w="2655"/>
        <w:gridCol w:w="534"/>
        <w:gridCol w:w="654"/>
        <w:gridCol w:w="654"/>
        <w:gridCol w:w="654"/>
        <w:gridCol w:w="654"/>
        <w:gridCol w:w="654"/>
        <w:gridCol w:w="6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4059"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（本列表的勾稽关系：第一项加第二项之和，等于第三项加第四项之和）</w:t>
            </w:r>
          </w:p>
        </w:tc>
        <w:tc>
          <w:tcPr>
            <w:tcW w:w="4463" w:type="dxa"/>
            <w:gridSpan w:val="7"/>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4059"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534"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自然人</w:t>
            </w:r>
          </w:p>
        </w:tc>
        <w:tc>
          <w:tcPr>
            <w:tcW w:w="3270" w:type="dxa"/>
            <w:gridSpan w:val="5"/>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法人或其他组织</w:t>
            </w:r>
          </w:p>
        </w:tc>
        <w:tc>
          <w:tcPr>
            <w:tcW w:w="659" w:type="dxa"/>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4059"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534"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商业企业</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科研机构</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社会公益组织</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法律服务机构</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其他</w:t>
            </w:r>
          </w:p>
        </w:tc>
        <w:tc>
          <w:tcPr>
            <w:tcW w:w="659" w:type="dxa"/>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405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一、本年新收政府信息公开申请数量</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2</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仿宋" w:hAnsi="仿宋" w:eastAsia="仿宋" w:cs="仿宋"/>
                <w:b w:val="0"/>
                <w:bCs/>
                <w:i w:val="0"/>
                <w:caps w:val="0"/>
                <w:color w:val="000000"/>
                <w:spacing w:val="0"/>
                <w:kern w:val="0"/>
                <w:sz w:val="18"/>
                <w:szCs w:val="18"/>
                <w:shd w:val="clear" w:fill="FFFFFF"/>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405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二、上年结转政府信息公开申请数量</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94" w:hRule="atLeast"/>
          <w:jc w:val="center"/>
        </w:trPr>
        <w:tc>
          <w:tcPr>
            <w:tcW w:w="777"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三、本年度办理结果</w:t>
            </w:r>
          </w:p>
        </w:tc>
        <w:tc>
          <w:tcPr>
            <w:tcW w:w="3282" w:type="dxa"/>
            <w:gridSpan w:val="2"/>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(一)予以公开</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2</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3282" w:type="dxa"/>
            <w:gridSpan w:val="2"/>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(二)部分公开（区分处理的，只计这一情形，不计其他情形）</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(三)不予公开</w:t>
            </w: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1.属于国家秘密</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2.其他法律行政法规禁止公开</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3.危及“三安全一稳定”</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4.保护第三方合法权益</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5.属于三类内部事务信息</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6.属于四类过程性信息</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7.属于行政执法案卷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7"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8.属于行政查询事项</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(四)无法提供</w:t>
            </w: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1.本机关不掌握相关政府信息</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2.没有现成信息需要另行制作</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3.补正后申请内容仍不明确</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9"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(五)不予公开</w:t>
            </w: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1.信访举报投诉类申请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7"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2.重复申请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2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3.要求提供公开出版物</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4.无正当理由大量反复申请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5.要求行政机关确认或新出具已获取信息</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8"/>
                <w:szCs w:val="18"/>
                <w:shd w:val="clear" w:fill="FFFFFF"/>
                <w:lang w:val="en-US" w:eastAsia="zh-CN" w:bidi="ar"/>
              </w:rPr>
              <w:t>(六)其他处理</w:t>
            </w: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1.申请人无正当理由逾期不补正、行政机关不再处理其政府信息公开申请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2.申请人逾期未按收费通知要求缴纳费用、行政机关不再处理其政府信息公开申请</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62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265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3.其他</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777"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eastAsia" w:ascii="宋体"/>
                <w:sz w:val="24"/>
                <w:szCs w:val="24"/>
              </w:rPr>
            </w:pPr>
          </w:p>
        </w:tc>
        <w:tc>
          <w:tcPr>
            <w:tcW w:w="3282" w:type="dxa"/>
            <w:gridSpan w:val="2"/>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(七)总计</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kern w:val="0"/>
                <w:sz w:val="24"/>
                <w:lang w:val="en-US" w:eastAsia="zh-CN" w:bidi="ar"/>
              </w:rPr>
              <w:t>2</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kern w:val="0"/>
                <w:sz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4" w:hRule="atLeast"/>
          <w:jc w:val="center"/>
        </w:trPr>
        <w:tc>
          <w:tcPr>
            <w:tcW w:w="4059"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both"/>
            </w:pPr>
            <w:r>
              <w:rPr>
                <w:rFonts w:hint="eastAsia" w:ascii="宋体" w:hAnsi="宋体" w:eastAsia="宋体" w:cs="宋体"/>
                <w:b w:val="0"/>
                <w:bCs/>
                <w:i w:val="0"/>
                <w:caps w:val="0"/>
                <w:color w:val="000000"/>
                <w:spacing w:val="0"/>
                <w:kern w:val="0"/>
                <w:sz w:val="18"/>
                <w:szCs w:val="18"/>
                <w:shd w:val="clear" w:fill="FFFFFF"/>
                <w:lang w:val="en-US" w:eastAsia="zh-CN" w:bidi="ar"/>
              </w:rPr>
              <w:t>四、结转下年度继续办理</w:t>
            </w:r>
          </w:p>
        </w:tc>
        <w:tc>
          <w:tcPr>
            <w:tcW w:w="53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4"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c>
          <w:tcPr>
            <w:tcW w:w="6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rightChars="0"/>
              <w:jc w:val="center"/>
            </w:pPr>
            <w:r>
              <w:rPr>
                <w:rFonts w:hint="eastAsia" w:ascii="仿宋" w:hAnsi="仿宋" w:eastAsia="仿宋" w:cs="仿宋"/>
                <w:b w:val="0"/>
                <w:bCs/>
                <w:i w:val="0"/>
                <w:caps w:val="0"/>
                <w:color w:val="000000"/>
                <w:spacing w:val="0"/>
                <w:kern w:val="0"/>
                <w:sz w:val="18"/>
                <w:szCs w:val="18"/>
                <w:shd w:val="clear" w:fill="FFFFFF"/>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hint="eastAsia" w:ascii="仿宋" w:hAnsi="仿宋" w:eastAsia="仿宋" w:cs="仿宋"/>
          <w:b w:val="0"/>
          <w:bCs/>
          <w:i w:val="0"/>
          <w:caps w:val="0"/>
          <w:color w:val="000000"/>
          <w:spacing w:val="0"/>
          <w:kern w:val="0"/>
          <w:sz w:val="18"/>
          <w:szCs w:val="18"/>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jc w:val="left"/>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t xml:space="preserve">  </w:t>
      </w: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四、政府信息公开行政复议、行政诉讼情况</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行政复议</w:t>
            </w:r>
          </w:p>
        </w:tc>
        <w:tc>
          <w:tcPr>
            <w:tcW w:w="5682" w:type="dxa"/>
            <w:gridSpan w:val="10"/>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568"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维持</w:t>
            </w:r>
          </w:p>
        </w:tc>
        <w:tc>
          <w:tcPr>
            <w:tcW w:w="568"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纠正</w:t>
            </w:r>
          </w:p>
        </w:tc>
        <w:tc>
          <w:tcPr>
            <w:tcW w:w="568" w:type="dxa"/>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其他</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tc>
        <w:tc>
          <w:tcPr>
            <w:tcW w:w="568" w:type="dxa"/>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尚未</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审结</w:t>
            </w:r>
          </w:p>
        </w:tc>
        <w:tc>
          <w:tcPr>
            <w:tcW w:w="568" w:type="dxa"/>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总计</w:t>
            </w:r>
          </w:p>
        </w:tc>
        <w:tc>
          <w:tcPr>
            <w:tcW w:w="2840" w:type="dxa"/>
            <w:gridSpan w:val="5"/>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未经复议直接起诉</w:t>
            </w:r>
          </w:p>
        </w:tc>
        <w:tc>
          <w:tcPr>
            <w:tcW w:w="2842" w:type="dxa"/>
            <w:gridSpan w:val="5"/>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69" w:hRule="atLeast"/>
        </w:trPr>
        <w:tc>
          <w:tcPr>
            <w:tcW w:w="568"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jc w:val="center"/>
              <w:rPr>
                <w:rFonts w:hint="eastAsia" w:ascii="宋体"/>
                <w:sz w:val="24"/>
                <w:szCs w:val="24"/>
              </w:rPr>
            </w:pPr>
          </w:p>
        </w:tc>
        <w:tc>
          <w:tcPr>
            <w:tcW w:w="568"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jc w:val="center"/>
              <w:rPr>
                <w:rFonts w:hint="eastAsia" w:ascii="宋体"/>
                <w:sz w:val="24"/>
                <w:szCs w:val="24"/>
              </w:rPr>
            </w:pPr>
          </w:p>
        </w:tc>
        <w:tc>
          <w:tcPr>
            <w:tcW w:w="568" w:type="dxa"/>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jc w:val="center"/>
              <w:rPr>
                <w:rFonts w:hint="eastAsia" w:ascii="宋体"/>
                <w:sz w:val="24"/>
                <w:szCs w:val="24"/>
              </w:rPr>
            </w:pPr>
          </w:p>
        </w:tc>
        <w:tc>
          <w:tcPr>
            <w:tcW w:w="568" w:type="dxa"/>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jc w:val="center"/>
              <w:rPr>
                <w:rFonts w:hint="eastAsia" w:ascii="宋体"/>
                <w:sz w:val="24"/>
                <w:szCs w:val="24"/>
              </w:rPr>
            </w:pPr>
          </w:p>
        </w:tc>
        <w:tc>
          <w:tcPr>
            <w:tcW w:w="568" w:type="dxa"/>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jc w:val="center"/>
              <w:rPr>
                <w:rFonts w:hint="eastAsia" w:ascii="宋体"/>
                <w:sz w:val="24"/>
                <w:szCs w:val="24"/>
              </w:rPr>
            </w:pP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维持</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其他</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尚未</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审结</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总计</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维持</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其他</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结果</w:t>
            </w:r>
          </w:p>
        </w:tc>
        <w:tc>
          <w:tcPr>
            <w:tcW w:w="56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尚未</w:t>
            </w:r>
          </w:p>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审结</w:t>
            </w:r>
          </w:p>
        </w:tc>
        <w:tc>
          <w:tcPr>
            <w:tcW w:w="56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leftChars="0" w:right="0" w:rightChars="0"/>
              <w:jc w:val="center"/>
            </w:pPr>
            <w:r>
              <w:rPr>
                <w:rFonts w:hint="eastAsia" w:ascii="宋体" w:hAnsi="宋体" w:eastAsia="宋体" w:cs="宋体"/>
                <w:b w:val="0"/>
                <w:bCs/>
                <w:i w:val="0"/>
                <w:caps w:val="0"/>
                <w:color w:val="000000"/>
                <w:spacing w:val="0"/>
                <w:kern w:val="0"/>
                <w:sz w:val="15"/>
                <w:szCs w:val="15"/>
                <w:shd w:val="clear" w:fill="FFFFFF"/>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22" w:hRule="atLeast"/>
        </w:trPr>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c>
          <w:tcPr>
            <w:tcW w:w="56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0" w:beforeAutospacing="0" w:after="0" w:afterAutospacing="0"/>
              <w:ind w:left="0" w:right="0"/>
              <w:jc w:val="center"/>
            </w:pPr>
            <w:r>
              <w:rPr>
                <w:rFonts w:hint="default" w:ascii="Calibri" w:hAnsi="Calibri" w:eastAsia="宋体" w:cs="Calibri"/>
                <w:b w:val="0"/>
                <w:bCs/>
                <w:i w:val="0"/>
                <w:caps w:val="0"/>
                <w:color w:val="000000"/>
                <w:spacing w:val="0"/>
                <w:kern w:val="0"/>
                <w:sz w:val="15"/>
                <w:szCs w:val="15"/>
                <w:shd w:val="clear" w:fill="FFFFFF"/>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firstLine="0"/>
        <w:jc w:val="left"/>
      </w:pPr>
      <w:r>
        <w:rPr>
          <w:rFonts w:hint="eastAsia" w:ascii="微软雅黑" w:hAnsi="微软雅黑" w:eastAsia="微软雅黑" w:cs="微软雅黑"/>
          <w:b/>
          <w:bCs w:val="0"/>
          <w:i w:val="0"/>
          <w:caps w:val="0"/>
          <w:color w:val="000000"/>
          <w:spacing w:val="0"/>
          <w:kern w:val="0"/>
          <w:sz w:val="22"/>
          <w:szCs w:val="22"/>
          <w:bdr w:val="none" w:color="auto" w:sz="0" w:space="0"/>
          <w:shd w:val="clear" w:fill="FFFFFF"/>
          <w:lang w:val="en-US" w:eastAsia="zh-CN" w:bidi="ar"/>
        </w:rPr>
        <w:t xml:space="preserve">  </w:t>
      </w: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五、存在的主要问题及改进情况</w:t>
      </w:r>
    </w:p>
    <w:p>
      <w:pPr>
        <w:keepNext w:val="0"/>
        <w:keepLines w:val="0"/>
        <w:widowControl w:val="0"/>
        <w:suppressLineNumbers w:val="0"/>
        <w:autoSpaceDE w:val="0"/>
        <w:autoSpaceDN/>
        <w:spacing w:before="0" w:beforeAutospacing="1" w:after="0" w:afterAutospacing="1" w:line="560" w:lineRule="exact"/>
        <w:ind w:left="0" w:right="0" w:firstLine="602" w:firstLineChars="200"/>
        <w:jc w:val="both"/>
      </w:pPr>
      <w:r>
        <w:rPr>
          <w:rFonts w:hint="eastAsia" w:ascii="仿宋" w:hAnsi="仿宋" w:eastAsia="仿宋" w:cs="仿宋"/>
          <w:b/>
          <w:i w:val="0"/>
          <w:caps w:val="0"/>
          <w:color w:val="000000"/>
          <w:spacing w:val="0"/>
          <w:kern w:val="0"/>
          <w:sz w:val="30"/>
          <w:szCs w:val="30"/>
          <w:shd w:val="clear" w:fill="FFFFFF"/>
          <w:lang w:val="en-US" w:eastAsia="zh-CN" w:bidi="ar"/>
        </w:rPr>
        <w:t>1、存在的问题：</w:t>
      </w:r>
      <w:r>
        <w:rPr>
          <w:rFonts w:hint="eastAsia" w:ascii="仿宋" w:hAnsi="仿宋" w:eastAsia="仿宋" w:cs="仿宋"/>
          <w:i w:val="0"/>
          <w:caps w:val="0"/>
          <w:color w:val="000000"/>
          <w:spacing w:val="0"/>
          <w:kern w:val="0"/>
          <w:sz w:val="30"/>
          <w:szCs w:val="30"/>
          <w:shd w:val="clear" w:fill="FFFFFF"/>
          <w:lang w:val="en-US" w:eastAsia="zh-CN" w:bidi="ar"/>
        </w:rPr>
        <w:t>2022年，河洲街道在政务公开工作虽然取得了一定成效，但也存在一些不足之处：</w:t>
      </w:r>
      <w:r>
        <w:rPr>
          <w:rFonts w:hint="eastAsia" w:ascii="仿宋" w:hAnsi="仿宋" w:eastAsia="仿宋" w:cs="仿宋"/>
          <w:b/>
          <w:i w:val="0"/>
          <w:caps w:val="0"/>
          <w:color w:val="000000"/>
          <w:spacing w:val="0"/>
          <w:kern w:val="0"/>
          <w:sz w:val="30"/>
          <w:szCs w:val="30"/>
          <w:shd w:val="clear" w:fill="FFFFFF"/>
          <w:lang w:val="en-US" w:eastAsia="zh-CN" w:bidi="ar"/>
        </w:rPr>
        <w:t>一是政务平台建设不够完善。</w:t>
      </w:r>
      <w:r>
        <w:rPr>
          <w:rFonts w:hint="eastAsia" w:ascii="仿宋" w:hAnsi="仿宋" w:eastAsia="仿宋" w:cs="仿宋"/>
          <w:i w:val="0"/>
          <w:caps w:val="0"/>
          <w:color w:val="000000"/>
          <w:spacing w:val="0"/>
          <w:kern w:val="0"/>
          <w:sz w:val="30"/>
          <w:szCs w:val="30"/>
          <w:shd w:val="clear" w:fill="FFFFFF"/>
          <w:lang w:val="en-US" w:eastAsia="zh-CN" w:bidi="ar"/>
        </w:rPr>
        <w:t>比如说赣服通平台、民生资金码上监督平台相对来说，老百姓的知晓率和参与度比较高，但目前还不能通过政务公开网站实现无缝链接。</w:t>
      </w:r>
      <w:r>
        <w:rPr>
          <w:rFonts w:hint="eastAsia" w:ascii="仿宋" w:hAnsi="仿宋" w:eastAsia="仿宋" w:cs="仿宋"/>
          <w:b/>
          <w:i w:val="0"/>
          <w:caps w:val="0"/>
          <w:color w:val="000000"/>
          <w:spacing w:val="0"/>
          <w:kern w:val="0"/>
          <w:sz w:val="30"/>
          <w:szCs w:val="30"/>
          <w:shd w:val="clear" w:fill="FFFFFF"/>
          <w:lang w:val="en-US" w:eastAsia="zh-CN" w:bidi="ar"/>
        </w:rPr>
        <w:t>二是政务公开内容不够丰富。</w:t>
      </w:r>
      <w:r>
        <w:rPr>
          <w:rFonts w:hint="eastAsia" w:ascii="仿宋" w:hAnsi="仿宋" w:eastAsia="仿宋" w:cs="仿宋"/>
          <w:i w:val="0"/>
          <w:caps w:val="0"/>
          <w:color w:val="000000"/>
          <w:spacing w:val="0"/>
          <w:kern w:val="0"/>
          <w:sz w:val="30"/>
          <w:szCs w:val="30"/>
          <w:shd w:val="clear" w:fill="FFFFFF"/>
          <w:lang w:val="en-US" w:eastAsia="zh-CN" w:bidi="ar"/>
        </w:rPr>
        <w:t>目前主要以文字解读居多，缺少通过图表、视频等通俗易懂的形式来解读相关信息。</w:t>
      </w:r>
      <w:r>
        <w:rPr>
          <w:rFonts w:hint="eastAsia" w:ascii="仿宋" w:hAnsi="仿宋" w:eastAsia="仿宋" w:cs="仿宋"/>
          <w:b/>
          <w:i w:val="0"/>
          <w:caps w:val="0"/>
          <w:color w:val="000000"/>
          <w:spacing w:val="0"/>
          <w:kern w:val="0"/>
          <w:sz w:val="30"/>
          <w:szCs w:val="30"/>
          <w:shd w:val="clear" w:fill="FFFFFF"/>
          <w:lang w:val="en-US" w:eastAsia="zh-CN" w:bidi="ar"/>
        </w:rPr>
        <w:t>三是群众的知晓和参与度不高。</w:t>
      </w:r>
      <w:r>
        <w:rPr>
          <w:rFonts w:hint="eastAsia" w:ascii="仿宋" w:hAnsi="仿宋" w:eastAsia="仿宋" w:cs="仿宋"/>
          <w:i w:val="0"/>
          <w:caps w:val="0"/>
          <w:color w:val="000000"/>
          <w:spacing w:val="0"/>
          <w:kern w:val="0"/>
          <w:sz w:val="30"/>
          <w:szCs w:val="30"/>
          <w:shd w:val="clear" w:fill="FFFFFF"/>
          <w:lang w:val="en-US" w:eastAsia="zh-CN" w:bidi="ar"/>
        </w:rPr>
        <w:t>尽管依托便民服务大厅，丰富了多种形式的线下专区，但目前只起到了宣传效果，群众知而不用，参与的积极性不高，线下专区依申请公开受理基本形同虚设。通过政务公开网获取信息、办理诉求的比例不高。</w:t>
      </w:r>
      <w:r>
        <w:rPr>
          <w:rFonts w:hint="eastAsia" w:ascii="仿宋" w:hAnsi="仿宋" w:eastAsia="仿宋" w:cs="仿宋"/>
          <w:b/>
          <w:i w:val="0"/>
          <w:caps w:val="0"/>
          <w:color w:val="000000"/>
          <w:spacing w:val="0"/>
          <w:kern w:val="0"/>
          <w:sz w:val="30"/>
          <w:szCs w:val="30"/>
          <w:shd w:val="clear" w:fill="FFFFFF"/>
          <w:lang w:val="en-US" w:eastAsia="zh-CN" w:bidi="ar"/>
        </w:rPr>
        <w:t>四是政务公开向基层延伸不够广。</w:t>
      </w:r>
      <w:r>
        <w:rPr>
          <w:rFonts w:hint="eastAsia" w:ascii="仿宋" w:hAnsi="仿宋" w:eastAsia="仿宋" w:cs="仿宋"/>
          <w:i w:val="0"/>
          <w:caps w:val="0"/>
          <w:color w:val="000000"/>
          <w:spacing w:val="0"/>
          <w:kern w:val="0"/>
          <w:sz w:val="30"/>
          <w:szCs w:val="30"/>
          <w:shd w:val="clear" w:fill="FFFFFF"/>
          <w:lang w:val="en-US" w:eastAsia="zh-CN" w:bidi="ar"/>
        </w:rPr>
        <w:t>对标上级要求，我们的基层政务公开标准化规范化向社区延伸方面还亟需加强。截至目前，我们街道虽在玉龙、徐杨两个社区开展了试点，但离标准化规范化建设要求还有一定差距。</w:t>
      </w:r>
    </w:p>
    <w:p>
      <w:pPr>
        <w:pStyle w:val="2"/>
        <w:keepNext w:val="0"/>
        <w:keepLines w:val="0"/>
        <w:widowControl/>
        <w:suppressLineNumbers w:val="0"/>
        <w:autoSpaceDE w:val="0"/>
        <w:autoSpaceDN/>
        <w:spacing w:before="46" w:beforeAutospacing="0" w:after="0" w:afterAutospacing="0" w:line="560" w:lineRule="exact"/>
        <w:ind w:left="0" w:right="0" w:firstLine="602" w:firstLineChars="200"/>
        <w:jc w:val="both"/>
      </w:pPr>
      <w:r>
        <w:rPr>
          <w:rFonts w:hint="eastAsia" w:ascii="仿宋" w:hAnsi="仿宋" w:eastAsia="仿宋" w:cs="仿宋"/>
          <w:b/>
          <w:i w:val="0"/>
          <w:caps w:val="0"/>
          <w:color w:val="000000"/>
          <w:spacing w:val="0"/>
          <w:kern w:val="0"/>
          <w:sz w:val="30"/>
          <w:szCs w:val="30"/>
          <w:shd w:val="clear" w:fill="FFFFFF"/>
          <w:lang w:val="en-US" w:eastAsia="zh-CN" w:bidi="ar"/>
        </w:rPr>
        <w:t>2、改进情况：一是优化政务服务设置。</w:t>
      </w:r>
      <w:r>
        <w:rPr>
          <w:rFonts w:hint="eastAsia" w:ascii="仿宋" w:hAnsi="仿宋" w:eastAsia="仿宋" w:cs="仿宋"/>
          <w:i w:val="0"/>
          <w:caps w:val="0"/>
          <w:color w:val="000000"/>
          <w:spacing w:val="0"/>
          <w:kern w:val="0"/>
          <w:sz w:val="30"/>
          <w:szCs w:val="30"/>
          <w:shd w:val="clear" w:fill="FFFFFF"/>
          <w:lang w:val="en-US" w:eastAsia="zh-CN" w:bidi="ar"/>
        </w:rPr>
        <w:t>依托政务公开专区、法治文化广场、廉政文化广场、禁毒文化广场、红色政务长廊，打造政务公开“四专区一长廊”，形成政务服务圈，满足全市居民的信息获取需求。</w:t>
      </w:r>
      <w:r>
        <w:rPr>
          <w:rFonts w:hint="eastAsia" w:ascii="仿宋" w:hAnsi="仿宋" w:eastAsia="仿宋" w:cs="仿宋"/>
          <w:b/>
          <w:i w:val="0"/>
          <w:caps w:val="0"/>
          <w:color w:val="000000"/>
          <w:spacing w:val="0"/>
          <w:kern w:val="0"/>
          <w:sz w:val="30"/>
          <w:szCs w:val="30"/>
          <w:shd w:val="clear" w:fill="FFFFFF"/>
          <w:lang w:val="en-US" w:eastAsia="zh-CN" w:bidi="ar"/>
        </w:rPr>
        <w:t>二是丰富政务公开内容。</w:t>
      </w:r>
      <w:r>
        <w:rPr>
          <w:rFonts w:hint="eastAsia" w:ascii="仿宋" w:hAnsi="仿宋" w:eastAsia="仿宋" w:cs="仿宋"/>
          <w:i w:val="0"/>
          <w:caps w:val="0"/>
          <w:color w:val="000000"/>
          <w:spacing w:val="0"/>
          <w:kern w:val="0"/>
          <w:sz w:val="30"/>
          <w:szCs w:val="30"/>
          <w:shd w:val="clear" w:fill="FFFFFF"/>
          <w:lang w:val="en-US" w:eastAsia="zh-CN" w:bidi="ar"/>
        </w:rPr>
        <w:t>优化政务公开目录，多渠道获取信息，及时更新各项业务办事指南、审批流程，全过程公开办理事项，让群众少跑路，为群众办实事。</w:t>
      </w:r>
      <w:r>
        <w:rPr>
          <w:rFonts w:hint="eastAsia" w:ascii="仿宋" w:hAnsi="仿宋" w:eastAsia="仿宋" w:cs="仿宋"/>
          <w:b/>
          <w:i w:val="0"/>
          <w:caps w:val="0"/>
          <w:color w:val="000000"/>
          <w:spacing w:val="0"/>
          <w:kern w:val="0"/>
          <w:sz w:val="30"/>
          <w:szCs w:val="30"/>
          <w:shd w:val="clear" w:fill="FFFFFF"/>
          <w:lang w:val="en-US" w:eastAsia="zh-CN" w:bidi="ar"/>
        </w:rPr>
        <w:t>三是拓宽政务公开渠道。</w:t>
      </w:r>
      <w:r>
        <w:rPr>
          <w:rFonts w:hint="eastAsia" w:ascii="仿宋" w:hAnsi="仿宋" w:eastAsia="仿宋" w:cs="仿宋"/>
          <w:i w:val="0"/>
          <w:caps w:val="0"/>
          <w:color w:val="000000"/>
          <w:spacing w:val="0"/>
          <w:kern w:val="0"/>
          <w:sz w:val="30"/>
          <w:szCs w:val="30"/>
          <w:shd w:val="clear" w:fill="FFFFFF"/>
          <w:lang w:val="en-US" w:eastAsia="zh-CN" w:bidi="ar"/>
        </w:rPr>
        <w:t>推动基层政务公开向社区延伸，依托玉龙、徐杨两个社区政务公开试点建设，逐步向其他社区推广，就政务服务事项、办事流程通过线上线下全面及时公开，使基层政务公开家喻户晓，深入人心。</w:t>
      </w:r>
      <w:r>
        <w:rPr>
          <w:rFonts w:hint="eastAsia" w:ascii="仿宋" w:hAnsi="仿宋" w:eastAsia="仿宋" w:cs="仿宋"/>
          <w:b/>
          <w:i w:val="0"/>
          <w:caps w:val="0"/>
          <w:color w:val="000000"/>
          <w:spacing w:val="0"/>
          <w:kern w:val="0"/>
          <w:sz w:val="30"/>
          <w:szCs w:val="30"/>
          <w:shd w:val="clear" w:fill="FFFFFF"/>
          <w:lang w:val="en-US" w:eastAsia="zh-CN" w:bidi="ar"/>
        </w:rPr>
        <w:t>四是创新政务服务方式。</w:t>
      </w:r>
      <w:r>
        <w:rPr>
          <w:rFonts w:hint="eastAsia" w:ascii="仿宋" w:hAnsi="仿宋" w:eastAsia="仿宋" w:cs="仿宋"/>
          <w:i w:val="0"/>
          <w:caps w:val="0"/>
          <w:color w:val="000000"/>
          <w:spacing w:val="0"/>
          <w:kern w:val="0"/>
          <w:sz w:val="30"/>
          <w:szCs w:val="30"/>
          <w:shd w:val="clear" w:fill="FFFFFF"/>
          <w:lang w:val="en-US" w:eastAsia="zh-CN" w:bidi="ar"/>
        </w:rPr>
        <w:t>探索以群众“点餐”、街道“配餐”的方式，补齐公开内容与群众需求信息匹配度不高的短板，推出“政务微点单”，构建“点单-出单-派单-回单-反馈”的闭环流程机制，提供“点对点”精准高效的政策解读服务，满足居民群众的多元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firstLine="560" w:firstLineChars="200"/>
        <w:jc w:val="left"/>
      </w:pPr>
      <w:r>
        <w:rPr>
          <w:rFonts w:hint="eastAsia" w:ascii="黑体" w:hAnsi="宋体" w:eastAsia="黑体" w:cs="黑体"/>
          <w:b w:val="0"/>
          <w:bCs/>
          <w:i w:val="0"/>
          <w:caps w:val="0"/>
          <w:color w:val="000000"/>
          <w:spacing w:val="0"/>
          <w:kern w:val="0"/>
          <w:sz w:val="28"/>
          <w:szCs w:val="28"/>
          <w:bdr w:val="none" w:color="auto" w:sz="0" w:space="0"/>
          <w:shd w:val="clear" w:fill="FFFFFF"/>
          <w:lang w:val="en-US" w:eastAsia="zh-CN" w:bidi="ar"/>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firstLine="560"/>
        <w:jc w:val="left"/>
      </w:pPr>
      <w:r>
        <w:rPr>
          <w:rFonts w:hint="eastAsia" w:ascii="仿宋" w:hAnsi="仿宋" w:eastAsia="仿宋" w:cs="仿宋"/>
          <w:i w:val="0"/>
          <w:caps w:val="0"/>
          <w:color w:val="000000"/>
          <w:spacing w:val="0"/>
          <w:kern w:val="0"/>
          <w:sz w:val="30"/>
          <w:szCs w:val="30"/>
          <w:bdr w:val="none" w:color="auto" w:sz="0" w:space="0"/>
          <w:shd w:val="clear" w:fill="FFFFFF"/>
          <w:lang w:val="en-US" w:eastAsia="zh-CN" w:bidi="ar"/>
        </w:rPr>
        <w:t>2022年我街信息处理费收费情况为零。2022年度河洲街道无其他需要报告的事项。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48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jE2N2E0Zjk3NjYwOWZmOGUzMTdiNTFlZWM3YjAifQ=="/>
  </w:docVars>
  <w:rsids>
    <w:rsidRoot w:val="00000000"/>
    <w:rsid w:val="001D66AC"/>
    <w:rsid w:val="00285085"/>
    <w:rsid w:val="018538C5"/>
    <w:rsid w:val="018C519F"/>
    <w:rsid w:val="01B96A92"/>
    <w:rsid w:val="02864D5C"/>
    <w:rsid w:val="03A26035"/>
    <w:rsid w:val="0449323C"/>
    <w:rsid w:val="050914EA"/>
    <w:rsid w:val="056C0993"/>
    <w:rsid w:val="06113EC5"/>
    <w:rsid w:val="0748600C"/>
    <w:rsid w:val="077961C6"/>
    <w:rsid w:val="080D690E"/>
    <w:rsid w:val="097A6225"/>
    <w:rsid w:val="097B22F1"/>
    <w:rsid w:val="0AB15C77"/>
    <w:rsid w:val="0FBD50BE"/>
    <w:rsid w:val="107D086B"/>
    <w:rsid w:val="10817E99"/>
    <w:rsid w:val="13871C6A"/>
    <w:rsid w:val="17163A31"/>
    <w:rsid w:val="178462CC"/>
    <w:rsid w:val="18357EE7"/>
    <w:rsid w:val="18A230A3"/>
    <w:rsid w:val="19C105DD"/>
    <w:rsid w:val="1AAB623F"/>
    <w:rsid w:val="1AD60AA1"/>
    <w:rsid w:val="1AE85281"/>
    <w:rsid w:val="1B05696E"/>
    <w:rsid w:val="1B4B5C73"/>
    <w:rsid w:val="1C2F10F1"/>
    <w:rsid w:val="1D7019C1"/>
    <w:rsid w:val="1E1E0B8D"/>
    <w:rsid w:val="1F842FEF"/>
    <w:rsid w:val="223707CE"/>
    <w:rsid w:val="2821603B"/>
    <w:rsid w:val="28792DFD"/>
    <w:rsid w:val="29E85D09"/>
    <w:rsid w:val="2A306760"/>
    <w:rsid w:val="2AF902EE"/>
    <w:rsid w:val="2EBC1ED2"/>
    <w:rsid w:val="2F6A6270"/>
    <w:rsid w:val="2F9C03F4"/>
    <w:rsid w:val="31FA3936"/>
    <w:rsid w:val="33B85D81"/>
    <w:rsid w:val="34146C54"/>
    <w:rsid w:val="3609433B"/>
    <w:rsid w:val="363B2715"/>
    <w:rsid w:val="36E20DE2"/>
    <w:rsid w:val="37E138A3"/>
    <w:rsid w:val="388013A1"/>
    <w:rsid w:val="396A50BF"/>
    <w:rsid w:val="3995038E"/>
    <w:rsid w:val="3A347BA7"/>
    <w:rsid w:val="3E544229"/>
    <w:rsid w:val="3E7E5894"/>
    <w:rsid w:val="3F80563C"/>
    <w:rsid w:val="3F9F2A62"/>
    <w:rsid w:val="3FBD505D"/>
    <w:rsid w:val="403A1C8F"/>
    <w:rsid w:val="414036F2"/>
    <w:rsid w:val="4250669B"/>
    <w:rsid w:val="43A8778A"/>
    <w:rsid w:val="44433902"/>
    <w:rsid w:val="459C0CF6"/>
    <w:rsid w:val="45C5024D"/>
    <w:rsid w:val="470C314B"/>
    <w:rsid w:val="47657A2D"/>
    <w:rsid w:val="48FA242C"/>
    <w:rsid w:val="4A30484D"/>
    <w:rsid w:val="4BFD3059"/>
    <w:rsid w:val="4C5C4D3B"/>
    <w:rsid w:val="4E787A3E"/>
    <w:rsid w:val="51E02630"/>
    <w:rsid w:val="52A35479"/>
    <w:rsid w:val="52C86916"/>
    <w:rsid w:val="551C775D"/>
    <w:rsid w:val="55314FB7"/>
    <w:rsid w:val="56527F71"/>
    <w:rsid w:val="56927CD7"/>
    <w:rsid w:val="572A4273"/>
    <w:rsid w:val="59505C28"/>
    <w:rsid w:val="5A5C7A83"/>
    <w:rsid w:val="5ABC3575"/>
    <w:rsid w:val="5B072D06"/>
    <w:rsid w:val="5B6339F0"/>
    <w:rsid w:val="5C7A5495"/>
    <w:rsid w:val="5E21648D"/>
    <w:rsid w:val="5EFC354D"/>
    <w:rsid w:val="5FA53798"/>
    <w:rsid w:val="602B6AA7"/>
    <w:rsid w:val="618370B6"/>
    <w:rsid w:val="61E37639"/>
    <w:rsid w:val="61EF2482"/>
    <w:rsid w:val="63391F7B"/>
    <w:rsid w:val="6393508F"/>
    <w:rsid w:val="63B55005"/>
    <w:rsid w:val="63F175CE"/>
    <w:rsid w:val="67452B44"/>
    <w:rsid w:val="680E1188"/>
    <w:rsid w:val="687B5DE0"/>
    <w:rsid w:val="6B2F3925"/>
    <w:rsid w:val="6B902DC8"/>
    <w:rsid w:val="6BC8789F"/>
    <w:rsid w:val="6C8B7B56"/>
    <w:rsid w:val="6D0668D1"/>
    <w:rsid w:val="6D9E6B0A"/>
    <w:rsid w:val="6DF44700"/>
    <w:rsid w:val="6F0E576B"/>
    <w:rsid w:val="6F174DC6"/>
    <w:rsid w:val="6FF00C7D"/>
    <w:rsid w:val="731A5952"/>
    <w:rsid w:val="73B70925"/>
    <w:rsid w:val="73BA1091"/>
    <w:rsid w:val="745307BE"/>
    <w:rsid w:val="75394176"/>
    <w:rsid w:val="7637335D"/>
    <w:rsid w:val="769E4E76"/>
    <w:rsid w:val="76FA79E7"/>
    <w:rsid w:val="79B4258F"/>
    <w:rsid w:val="7A9B6889"/>
    <w:rsid w:val="7ADA32FE"/>
    <w:rsid w:val="7C7A24D0"/>
    <w:rsid w:val="7DC21B5E"/>
    <w:rsid w:val="7E794C4C"/>
    <w:rsid w:val="7E8861C5"/>
    <w:rsid w:val="7EEA3076"/>
    <w:rsid w:val="7F31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BodyText1I2"/>
    <w:basedOn w:val="1"/>
    <w:qFormat/>
    <w:uiPriority w:val="0"/>
    <w:pPr>
      <w:ind w:left="420" w:leftChars="200" w:firstLine="21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4601</Words>
  <Characters>4763</Characters>
  <Lines>0</Lines>
  <Paragraphs>0</Paragraphs>
  <TotalTime>0</TotalTime>
  <ScaleCrop>false</ScaleCrop>
  <LinksUpToDate>false</LinksUpToDate>
  <CharactersWithSpaces>4773</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Administrator</cp:lastModifiedBy>
  <dcterms:modified xsi:type="dcterms:W3CDTF">2024-01-26T08:43:05Z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y fmtid="{D5CDD505-2E9C-101B-9397-08002B2CF9AE}" pid="3" name="ICV">
    <vt:lpwstr>0D65A576F9914061BEC094DCFA735CD8</vt:lpwstr>
  </property>
</Properties>
</file>