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根据《中华人民共和国政府信息公开条例》和江西省、宜春市、丰城市人民政府相关文件精神，特制定</w:t>
      </w:r>
      <w:r>
        <w:rPr>
          <w:rFonts w:hint="eastAsia" w:ascii="仿宋_GB2312" w:hAnsi="仿宋_GB2312" w:eastAsia="仿宋_GB2312" w:cs="仿宋_GB2312"/>
          <w:i w:val="0"/>
          <w:iCs w:val="0"/>
          <w:caps w:val="0"/>
          <w:color w:val="333333"/>
          <w:spacing w:val="0"/>
          <w:sz w:val="32"/>
          <w:szCs w:val="32"/>
          <w:shd w:val="clear" w:fill="FFFFFF"/>
        </w:rPr>
        <w:t>丽村镇2020年政府信息公开年度报告。本报告包括总体情况、主动公开政府信息情况、收到和处理政府信息公开申请情况、政府信息公开行政复议、行政诉讼情况、存在的主要问题及改进情况和其他需要报告的事项等六部分。本报告中所列数据的统计期限自2020年1月1日起至2020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确保政府信息公开工作有序推进，保证各项工作的有序进行，加强了对政府信息公开、行政权力网上公开透明运行工作的领导。成立了由镇长为组长、分管领导为副组长的领导小组，对日常工作和任务落实情况进行督促检查。镇党政办作为责任部门，落实专门人员明确职责、工作任务和工作要求，负责信息公开的发布等工作。同时，切实抓好投诉案件办理、回复工作，确保了政府信息公开各项工作正常开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（一）</w:t>
      </w:r>
      <w:r>
        <w:rPr>
          <w:rFonts w:hint="eastAsia" w:ascii="黑体" w:hAnsi="黑体" w:eastAsia="黑体" w:cs="黑体"/>
          <w:b w:val="0"/>
          <w:bCs w:val="0"/>
          <w:i w:val="0"/>
          <w:iCs w:val="0"/>
          <w:caps w:val="0"/>
          <w:color w:val="333333"/>
          <w:spacing w:val="0"/>
          <w:sz w:val="32"/>
          <w:szCs w:val="32"/>
          <w:shd w:val="clear" w:fill="FFFFFF"/>
        </w:rPr>
        <w:t>主动公开的数量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按照政府信息“以公开为原则、不公开为例外”的基本要求，结合我镇工作实际，2020年主动公开信息87条。其中，公开指南1条，工作动态82条，规划计划1条，财政信息2条，年报1条。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（二）依申请公开信息工作情况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我镇收到依申请公开政府信息两条，已回复。</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（三）政府信息管理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b/>
          <w:bCs/>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为确保政务公开各项工作落到实处，我镇成立了由</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乡镇长</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员任组长的政务公开工作领导小组，下设办公室在镇党政办，负责督促落实关于政务公开的一系列部署。一是明确工作机构，确立由本机关主要负责同志负总责、分管领导牵头、办公室负责日常事务、各部门密切配合、专人负责的工作机制。二是健全工作制度，修订完善了政府信息公开指南、政府信息主动公开制度、政府信息管理动态调整制度，工作中严格执行相关制度，确保我政府信息公开工作有序推进。</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（四）平台建设方面</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丽村</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镇人民政府信息公开平台主要有两种类型。一是在镇政府大院内设有公开栏，专门为公众提供政府机关主动公开的各类政府信息。二是利用</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丽村</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镇人民政府信息公开平台和便民服务大厅集中公开，我镇信息平台由专人负责网站后台的正常运行和管理，明确管理人员职责，确保网站安全和正常运行；在便民服务大厅中，采取墙上悬挂、摆放展板、发放传单的形式，向前来办事的群众进行最新政策的主动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建章立制，规范政府信息公开。2020年，我镇高度重视政府信息公开和政务公开工作，健全</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丽村</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镇人民政府信息主动公开、依申请公开、责任追究、公开评议、信息管理动态调整等政务公开工作制度。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b/>
          <w:bCs/>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及时编制更新信息公开指南和信息公开目录。2020年我镇按照县委、县政府有关文件的要求，结合自身实际，不断完善“信息公开指南、依申请公开、政府文件、机构设置、财政资金、应急管理、重点领域、公共资源交易”等栏目，不断更新</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丽村</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镇人民政府信息公开目录。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黑体" w:hAnsi="黑体" w:eastAsia="黑体" w:cs="黑体"/>
          <w:b w:val="0"/>
          <w:bCs w:val="0"/>
          <w:i w:val="0"/>
          <w:iCs w:val="0"/>
          <w:caps w:val="0"/>
          <w:color w:val="333333"/>
          <w:spacing w:val="0"/>
          <w:sz w:val="32"/>
          <w:szCs w:val="32"/>
          <w:shd w:val="clear" w:fill="FFFFFF"/>
          <w:lang w:eastAsia="zh-CN"/>
        </w:rPr>
      </w:pPr>
      <w:bookmarkStart w:id="0" w:name="_GoBack"/>
      <w:r>
        <w:rPr>
          <w:rFonts w:hint="eastAsia" w:ascii="黑体" w:hAnsi="黑体" w:eastAsia="黑体" w:cs="黑体"/>
          <w:b w:val="0"/>
          <w:bCs w:val="0"/>
          <w:i w:val="0"/>
          <w:iCs w:val="0"/>
          <w:caps w:val="0"/>
          <w:color w:val="333333"/>
          <w:spacing w:val="0"/>
          <w:sz w:val="32"/>
          <w:szCs w:val="32"/>
          <w:shd w:val="clear" w:fill="FFFFFF"/>
          <w:lang w:eastAsia="zh-CN"/>
        </w:rPr>
        <w:t>（五）监督保障方面</w:t>
      </w:r>
    </w:p>
    <w:bookmarkEnd w:id="0"/>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一、明确责任，建立健全组织领导机制。2020年，为保证我镇政府信息公开工作的有效实施，加强对政府信息公开工作的领导，我镇及时调整了政务公开工作领导小组成员，安排部署我镇政府信息公开工作，健全了由主要领导负总责，分管领导主抓，办公室具体负责，专人处理政府信息的分工及工作机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二、强化监督，完善公开制度。2020年，我镇进一步完善信息公开机制，建立健全长效管理机制，围绕中心工作，及时、准确填报应公开的信息，重点做好社会关注、政策解读、群众关心信息的公开，方便群众网上查看。</w:t>
      </w:r>
      <w:r>
        <w:rPr>
          <w:rFonts w:hint="eastAsia" w:ascii="仿宋_GB2312" w:hAnsi="仿宋_GB2312" w:eastAsia="仿宋_GB2312" w:cs="仿宋_GB2312"/>
          <w:i w:val="0"/>
          <w:iCs w:val="0"/>
          <w:caps w:val="0"/>
          <w:color w:val="333333"/>
          <w:spacing w:val="0"/>
          <w:sz w:val="32"/>
          <w:szCs w:val="32"/>
          <w:shd w:val="clear" w:fill="FFFFFF"/>
        </w:rPr>
        <w:t>我镇按照“谁提供、谁审核、谁负责”的原则，保证了所公开的政务信息不涉及个人隐私、商业秘密、国家秘密及法律法规禁止公开的信息，不危及国家安全，公共安全，社会稳定。</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强化监督检查工作，实行定期检查与不定期检查相结合，鼓励干部、群众积极参与监督，积极反映公开过程中存在的突出问题，使公开工作更加扎实、有序开展。凡属于涉及公共利益、公众权益、群众关切及需要社会广泛知晓的政府信息，都依法、全面、准确、及时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2020年我镇通过问卷调查等方式组织开展政府信息公开工作的社会评议活动，公众评议满意度</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99.7%。</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rightChars="0" w:firstLine="640" w:firstLineChars="200"/>
        <w:jc w:val="both"/>
        <w:rPr>
          <w:rFonts w:hint="eastAsia" w:ascii="黑体" w:hAnsi="黑体" w:eastAsia="黑体" w:cs="黑体"/>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2020年我镇未发生政务公开责任追究情况。未收到有关政府信息公开工作的举报、投诉、行政复议或行政诉讼，及时、准确地向社会公开政府信息，保障公民知情权、参与权和监督权。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二、主动公开政府信息情况</w:t>
      </w:r>
    </w:p>
    <w:tbl>
      <w:tblPr>
        <w:tblStyle w:val="3"/>
        <w:tblW w:w="6816" w:type="dxa"/>
        <w:tblCellSpacing w:w="0" w:type="dxa"/>
        <w:tblInd w:w="1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56"/>
        <w:gridCol w:w="1452"/>
        <w:gridCol w:w="1704"/>
        <w:gridCol w:w="170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96" w:hRule="atLeast"/>
          <w:tblCellSpacing w:w="0" w:type="dxa"/>
        </w:trPr>
        <w:tc>
          <w:tcPr>
            <w:tcW w:w="6816" w:type="dxa"/>
            <w:gridSpan w:val="4"/>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第二十条第（一）项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信息内容</w:t>
            </w:r>
          </w:p>
        </w:tc>
        <w:tc>
          <w:tcPr>
            <w:tcW w:w="145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本年新制作数量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本年新公开数量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对外公开总数量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规章</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规范性文件</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rPr>
                <w:rFonts w:hint="eastAsia" w:eastAsiaTheme="minorEastAsia"/>
                <w:lang w:eastAsia="zh-CN"/>
              </w:rPr>
            </w:pPr>
            <w:r>
              <w:rPr>
                <w:rFonts w:hint="eastAsia" w:ascii="宋体" w:hAnsi="宋体" w:eastAsia="宋体" w:cs="宋体"/>
                <w:i w:val="0"/>
                <w:iCs w:val="0"/>
                <w:caps w:val="0"/>
                <w:color w:val="333333"/>
                <w:spacing w:val="0"/>
                <w:sz w:val="16"/>
                <w:szCs w:val="16"/>
                <w:lang w:val="en-US" w:eastAsia="zh-CN"/>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rPr>
                <w:rFonts w:hint="eastAsia" w:eastAsiaTheme="minorEastAsia"/>
                <w:lang w:eastAsia="zh-CN"/>
              </w:rPr>
            </w:pPr>
            <w:r>
              <w:rPr>
                <w:rFonts w:hint="eastAsia" w:ascii="宋体" w:hAnsi="宋体" w:eastAsia="宋体" w:cs="宋体"/>
                <w:i w:val="0"/>
                <w:iCs w:val="0"/>
                <w:caps w:val="0"/>
                <w:color w:val="333333"/>
                <w:spacing w:val="0"/>
                <w:sz w:val="16"/>
                <w:szCs w:val="16"/>
                <w:lang w:val="en-US" w:eastAsia="zh-CN"/>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rPr>
                <w:rFonts w:hint="eastAsia" w:eastAsiaTheme="minorEastAsia"/>
                <w:lang w:eastAsia="zh-CN"/>
              </w:rPr>
            </w:pPr>
            <w:r>
              <w:rPr>
                <w:rFonts w:hint="eastAsia" w:ascii="宋体" w:hAnsi="宋体" w:eastAsia="宋体" w:cs="宋体"/>
                <w:i w:val="0"/>
                <w:iCs w:val="0"/>
                <w:caps w:val="0"/>
                <w:color w:val="333333"/>
                <w:spacing w:val="0"/>
                <w:sz w:val="16"/>
                <w:szCs w:val="16"/>
                <w:lang w:val="en-US" w:eastAsia="zh-CN"/>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6816" w:type="dxa"/>
            <w:gridSpan w:val="4"/>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第二十条第（五）项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信息内容</w:t>
            </w:r>
          </w:p>
        </w:tc>
        <w:tc>
          <w:tcPr>
            <w:tcW w:w="145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上一年项目数量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本年增</w:t>
            </w:r>
            <w:r>
              <w:rPr>
                <w:rFonts w:ascii="Times New Roman" w:hAnsi="Times New Roman" w:eastAsia="宋体" w:cs="Times New Roman"/>
                <w:i w:val="0"/>
                <w:iCs w:val="0"/>
                <w:caps w:val="0"/>
                <w:color w:val="333333"/>
                <w:spacing w:val="0"/>
                <w:sz w:val="16"/>
                <w:szCs w:val="16"/>
              </w:rPr>
              <w:t>/</w:t>
            </w:r>
            <w:r>
              <w:rPr>
                <w:rFonts w:hint="eastAsia" w:ascii="宋体" w:hAnsi="宋体" w:eastAsia="宋体" w:cs="宋体"/>
                <w:i w:val="0"/>
                <w:iCs w:val="0"/>
                <w:caps w:val="0"/>
                <w:color w:val="333333"/>
                <w:spacing w:val="0"/>
                <w:sz w:val="16"/>
                <w:szCs w:val="16"/>
              </w:rPr>
              <w:t>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处理决定数量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行政许可</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其他对外管理服务事项</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6816" w:type="dxa"/>
            <w:gridSpan w:val="4"/>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第二十六条第（六）项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信息内容</w:t>
            </w:r>
          </w:p>
        </w:tc>
        <w:tc>
          <w:tcPr>
            <w:tcW w:w="145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上一年项目数量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本年增</w:t>
            </w:r>
            <w:r>
              <w:rPr>
                <w:rFonts w:hint="default" w:ascii="Times New Roman" w:hAnsi="Times New Roman" w:eastAsia="宋体" w:cs="Times New Roman"/>
                <w:i w:val="0"/>
                <w:iCs w:val="0"/>
                <w:caps w:val="0"/>
                <w:color w:val="333333"/>
                <w:spacing w:val="0"/>
                <w:sz w:val="16"/>
                <w:szCs w:val="16"/>
              </w:rPr>
              <w:t>/</w:t>
            </w:r>
            <w:r>
              <w:rPr>
                <w:rFonts w:hint="eastAsia" w:ascii="宋体" w:hAnsi="宋体" w:eastAsia="宋体" w:cs="宋体"/>
                <w:i w:val="0"/>
                <w:iCs w:val="0"/>
                <w:caps w:val="0"/>
                <w:color w:val="333333"/>
                <w:spacing w:val="0"/>
                <w:sz w:val="16"/>
                <w:szCs w:val="16"/>
              </w:rPr>
              <w:t>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处理决定数量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行政处罚</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行政强制</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6816" w:type="dxa"/>
            <w:gridSpan w:val="4"/>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第二十条第（八）项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信息内容</w:t>
            </w:r>
          </w:p>
        </w:tc>
        <w:tc>
          <w:tcPr>
            <w:tcW w:w="145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上一年项目数量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本年增</w:t>
            </w:r>
            <w:r>
              <w:rPr>
                <w:rFonts w:hint="default" w:ascii="Times New Roman" w:hAnsi="Times New Roman" w:eastAsia="宋体" w:cs="Times New Roman"/>
                <w:i w:val="0"/>
                <w:iCs w:val="0"/>
                <w:caps w:val="0"/>
                <w:color w:val="333333"/>
                <w:spacing w:val="0"/>
                <w:sz w:val="16"/>
                <w:szCs w:val="16"/>
              </w:rPr>
              <w:t>/</w:t>
            </w:r>
            <w:r>
              <w:rPr>
                <w:rFonts w:hint="eastAsia" w:ascii="宋体" w:hAnsi="宋体" w:eastAsia="宋体" w:cs="宋体"/>
                <w:i w:val="0"/>
                <w:iCs w:val="0"/>
                <w:caps w:val="0"/>
                <w:color w:val="333333"/>
                <w:spacing w:val="0"/>
                <w:sz w:val="16"/>
                <w:szCs w:val="16"/>
              </w:rPr>
              <w:t>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行政事业性收费</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6816" w:type="dxa"/>
            <w:gridSpan w:val="4"/>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第二十条第（九）项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信息内容</w:t>
            </w:r>
          </w:p>
        </w:tc>
        <w:tc>
          <w:tcPr>
            <w:tcW w:w="145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采购项目数量</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采购总金额</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blCellSpacing w:w="0" w:type="dxa"/>
        </w:trPr>
        <w:tc>
          <w:tcPr>
            <w:tcW w:w="19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政府集中采购</w:t>
            </w:r>
          </w:p>
        </w:tc>
        <w:tc>
          <w:tcPr>
            <w:tcW w:w="14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黑体" w:hAnsi="黑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三、收到和处理政府信息公开申请情况</w:t>
      </w:r>
    </w:p>
    <w:tbl>
      <w:tblPr>
        <w:tblStyle w:val="3"/>
        <w:tblW w:w="7572" w:type="dxa"/>
        <w:tblCellSpacing w:w="0" w:type="dxa"/>
        <w:tblInd w:w="1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6"/>
        <w:gridCol w:w="598"/>
        <w:gridCol w:w="2151"/>
        <w:gridCol w:w="718"/>
        <w:gridCol w:w="479"/>
        <w:gridCol w:w="622"/>
        <w:gridCol w:w="622"/>
        <w:gridCol w:w="622"/>
        <w:gridCol w:w="622"/>
        <w:gridCol w:w="62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blCellSpacing w:w="0" w:type="dxa"/>
        </w:trPr>
        <w:tc>
          <w:tcPr>
            <w:tcW w:w="32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（本列数据的勾稽关系为：第一项加第二项之和，等于第三项加第四项之和）</w:t>
            </w:r>
          </w:p>
        </w:tc>
        <w:tc>
          <w:tcPr>
            <w:tcW w:w="4320" w:type="dxa"/>
            <w:gridSpan w:val="7"/>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申请人情况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28" w:hRule="atLeast"/>
          <w:tblCellSpacing w:w="0" w:type="dxa"/>
        </w:trPr>
        <w:tc>
          <w:tcPr>
            <w:tcW w:w="3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720" w:type="dxa"/>
            <w:vMerge w:val="restart"/>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自然人</w:t>
            </w:r>
          </w:p>
        </w:tc>
        <w:tc>
          <w:tcPr>
            <w:tcW w:w="3600" w:type="dxa"/>
            <w:gridSpan w:val="6"/>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法人或其他组织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6" w:hRule="atLeast"/>
          <w:tblCellSpacing w:w="0" w:type="dxa"/>
        </w:trPr>
        <w:tc>
          <w:tcPr>
            <w:tcW w:w="3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720"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企业</w:t>
            </w:r>
          </w:p>
        </w:tc>
        <w:tc>
          <w:tcPr>
            <w:tcW w:w="62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机构</w:t>
            </w:r>
          </w:p>
        </w:tc>
        <w:tc>
          <w:tcPr>
            <w:tcW w:w="62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社会公益组织</w:t>
            </w:r>
          </w:p>
        </w:tc>
        <w:tc>
          <w:tcPr>
            <w:tcW w:w="62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法律服务机构</w:t>
            </w:r>
          </w:p>
        </w:tc>
        <w:tc>
          <w:tcPr>
            <w:tcW w:w="62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其他</w:t>
            </w:r>
          </w:p>
        </w:tc>
        <w:tc>
          <w:tcPr>
            <w:tcW w:w="62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总计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4" w:hRule="atLeast"/>
          <w:tblCellSpacing w:w="0" w:type="dxa"/>
        </w:trPr>
        <w:tc>
          <w:tcPr>
            <w:tcW w:w="3252" w:type="dxa"/>
            <w:gridSpan w:val="3"/>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一、本年新收政府信息公开申请数量</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2</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4" w:hRule="atLeast"/>
          <w:tblCellSpacing w:w="0" w:type="dxa"/>
        </w:trPr>
        <w:tc>
          <w:tcPr>
            <w:tcW w:w="3252" w:type="dxa"/>
            <w:gridSpan w:val="3"/>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二、上年结转政府信息公开申请数量</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rPr>
                <w:sz w:val="14"/>
                <w:szCs w:val="14"/>
              </w:rPr>
            </w:pPr>
            <w:r>
              <w:rPr>
                <w:rFonts w:hint="eastAsia" w:ascii="微软雅黑" w:hAnsi="微软雅黑" w:eastAsia="微软雅黑" w:cs="微软雅黑"/>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36" w:hRule="atLeast"/>
          <w:tblCellSpacing w:w="0" w:type="dxa"/>
        </w:trPr>
        <w:tc>
          <w:tcPr>
            <w:tcW w:w="516" w:type="dxa"/>
            <w:vMerge w:val="restart"/>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三、本年度办理结果</w:t>
            </w:r>
          </w:p>
        </w:tc>
        <w:tc>
          <w:tcPr>
            <w:tcW w:w="2736" w:type="dxa"/>
            <w:gridSpan w:val="2"/>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（一）予以公开</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2</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4"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36" w:type="dxa"/>
            <w:gridSpan w:val="2"/>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（二）部分公开（区分处理的），只计这一情形，不计其他情形</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restart"/>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（三）不予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以公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开</w:t>
            </w: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1、属于国家秘密</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8"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2、其他法律行政法规禁止公开</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3、危及“三安全一稳定”</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4、保护第三方合法权益</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5、属于第三类内部事务信息</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6、属于四类过程性信息</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7、属于行政执法案卷</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8、属于行政查询事项</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restart"/>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（四）无法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提供</w:t>
            </w: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1、本机关不掌握相关政府信息</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2、没有现成信息需要另行制作</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3、补正后申请内容仍不明确</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restart"/>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处理</w:t>
            </w: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1、信访举报类申请</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2、重复申请</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3、要求提供公开出版物</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4"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4、无正当理由大量反复申请</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4"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vMerge w:val="continue"/>
            <w:tcBorders>
              <w:top w:val="nil"/>
              <w:left w:val="nil"/>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5、要求行政机关确认或重新出具已获取信息</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8"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 </w:t>
            </w: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（六）其他处理</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51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57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 </w:t>
            </w:r>
          </w:p>
        </w:tc>
        <w:tc>
          <w:tcPr>
            <w:tcW w:w="21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（七）总计</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2</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3252" w:type="dxa"/>
            <w:gridSpan w:val="3"/>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both"/>
            </w:pPr>
            <w:r>
              <w:rPr>
                <w:rFonts w:hint="eastAsia" w:ascii="宋体" w:hAnsi="宋体" w:eastAsia="宋体" w:cs="宋体"/>
                <w:i w:val="0"/>
                <w:iCs w:val="0"/>
                <w:caps w:val="0"/>
                <w:color w:val="333333"/>
                <w:spacing w:val="0"/>
                <w:sz w:val="14"/>
                <w:szCs w:val="14"/>
              </w:rPr>
              <w:t>四、结转下年度继续办理</w:t>
            </w:r>
          </w:p>
        </w:tc>
        <w:tc>
          <w:tcPr>
            <w:tcW w:w="7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48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c>
          <w:tcPr>
            <w:tcW w:w="62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jc w:val="both"/>
        <w:rPr>
          <w:rFonts w:hint="eastAsia" w:ascii="黑体" w:hAnsi="宋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黑体" w:hAnsi="宋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四、政府信息公开行政复议、行政诉讼情况</w:t>
      </w:r>
    </w:p>
    <w:tbl>
      <w:tblPr>
        <w:tblStyle w:val="3"/>
        <w:tblW w:w="6816" w:type="dxa"/>
        <w:tblCellSpacing w:w="0" w:type="dxa"/>
        <w:tblInd w:w="1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5"/>
        <w:gridCol w:w="454"/>
        <w:gridCol w:w="454"/>
        <w:gridCol w:w="454"/>
        <w:gridCol w:w="454"/>
        <w:gridCol w:w="454"/>
        <w:gridCol w:w="454"/>
        <w:gridCol w:w="454"/>
        <w:gridCol w:w="454"/>
        <w:gridCol w:w="454"/>
        <w:gridCol w:w="455"/>
        <w:gridCol w:w="455"/>
        <w:gridCol w:w="455"/>
        <w:gridCol w:w="455"/>
        <w:gridCol w:w="45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268" w:type="dxa"/>
            <w:gridSpan w:val="5"/>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行政复议</w:t>
            </w:r>
          </w:p>
        </w:tc>
        <w:tc>
          <w:tcPr>
            <w:tcW w:w="4548" w:type="dxa"/>
            <w:gridSpan w:val="10"/>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行政诉讼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CellSpacing w:w="0" w:type="dxa"/>
        </w:trPr>
        <w:tc>
          <w:tcPr>
            <w:tcW w:w="456" w:type="dxa"/>
            <w:vMerge w:val="restart"/>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结果维持</w:t>
            </w:r>
          </w:p>
        </w:tc>
        <w:tc>
          <w:tcPr>
            <w:tcW w:w="456" w:type="dxa"/>
            <w:vMerge w:val="restart"/>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结果纠正</w:t>
            </w:r>
          </w:p>
        </w:tc>
        <w:tc>
          <w:tcPr>
            <w:tcW w:w="456"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其他结果</w:t>
            </w:r>
          </w:p>
        </w:tc>
        <w:tc>
          <w:tcPr>
            <w:tcW w:w="456"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尚未审结</w:t>
            </w:r>
          </w:p>
        </w:tc>
        <w:tc>
          <w:tcPr>
            <w:tcW w:w="456"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总计</w:t>
            </w:r>
          </w:p>
        </w:tc>
        <w:tc>
          <w:tcPr>
            <w:tcW w:w="2268" w:type="dxa"/>
            <w:gridSpan w:val="5"/>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未经复议直接起诉</w:t>
            </w:r>
          </w:p>
        </w:tc>
        <w:tc>
          <w:tcPr>
            <w:tcW w:w="2268" w:type="dxa"/>
            <w:gridSpan w:val="5"/>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复议后起诉</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blCellSpacing w:w="0" w:type="dxa"/>
        </w:trPr>
        <w:tc>
          <w:tcPr>
            <w:tcW w:w="456" w:type="dxa"/>
            <w:vMerge w:val="continue"/>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456" w:type="dxa"/>
            <w:vMerge w:val="continue"/>
            <w:tcBorders>
              <w:top w:val="nil"/>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456"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456"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456"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jc w:val="both"/>
              <w:rPr>
                <w:rFonts w:hint="eastAsia" w:ascii="微软雅黑" w:hAnsi="微软雅黑" w:eastAsia="微软雅黑" w:cs="微软雅黑"/>
                <w:i w:val="0"/>
                <w:iCs w:val="0"/>
                <w:caps w:val="0"/>
                <w:color w:val="333333"/>
                <w:spacing w:val="0"/>
                <w:sz w:val="20"/>
                <w:szCs w:val="20"/>
              </w:rPr>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结果维持</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结果纠正</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其他结果</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尚未审结</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总计</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结果维持</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结果纠正</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其他结果</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尚未审结</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4"/>
                <w:szCs w:val="14"/>
              </w:rPr>
              <w:t>总计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8" w:hRule="atLeast"/>
          <w:tblCellSpacing w:w="0" w:type="dxa"/>
        </w:trPr>
        <w:tc>
          <w:tcPr>
            <w:tcW w:w="4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ind w:left="0" w:right="0"/>
              <w:jc w:val="center"/>
            </w:pPr>
            <w:r>
              <w:rPr>
                <w:rFonts w:hint="eastAsia" w:ascii="宋体" w:hAnsi="宋体" w:eastAsia="宋体" w:cs="宋体"/>
                <w:i w:val="0"/>
                <w:iCs w:val="0"/>
                <w:caps w:val="0"/>
                <w:color w:val="333333"/>
                <w:spacing w:val="0"/>
                <w:sz w:val="16"/>
                <w:szCs w:val="16"/>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left="0" w:right="0" w:firstLine="444"/>
        <w:jc w:val="both"/>
        <w:rPr>
          <w:rFonts w:hint="eastAsia" w:ascii="黑体" w:hAnsi="宋体" w:eastAsia="黑体" w:cs="黑体"/>
          <w:i w:val="0"/>
          <w:iCs w:val="0"/>
          <w:caps w:val="0"/>
          <w:color w:val="333333"/>
          <w:spacing w:val="0"/>
          <w:sz w:val="22"/>
          <w:szCs w:val="2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年来，我镇按照上级安排部署较好地完成了政府信息公开的各项工作，但离上级要求和群众期盼仍有一定差距，具体体现在：一是信息的更新不够及时；二是信息内容还要进一步深入；三是公开的形式还要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下一步，我们将进一步改进工作方法：一是提高认识、规范管理，提高信息公开的效率；二是以群众需求为导向，深化政府信息公开内容。三是进一步拓宽公开渠道，增加政府工作的透明度。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ind w:right="0" w:firstLine="640" w:firstLineChars="200"/>
        <w:jc w:val="both"/>
        <w:rPr>
          <w:rFonts w:hint="eastAsia" w:ascii="微软雅黑" w:hAnsi="微软雅黑" w:eastAsia="微软雅黑" w:cs="微软雅黑"/>
          <w:i w:val="0"/>
          <w:iCs w:val="0"/>
          <w:caps w:val="0"/>
          <w:color w:val="333333"/>
          <w:spacing w:val="0"/>
          <w:sz w:val="20"/>
          <w:szCs w:val="20"/>
        </w:rPr>
      </w:pPr>
      <w:r>
        <w:rPr>
          <w:rFonts w:hint="eastAsia" w:ascii="仿宋_GB2312" w:hAnsi="仿宋_GB2312" w:eastAsia="仿宋_GB2312" w:cs="仿宋_GB2312"/>
          <w:i w:val="0"/>
          <w:iCs w:val="0"/>
          <w:caps w:val="0"/>
          <w:color w:val="333333"/>
          <w:spacing w:val="0"/>
          <w:sz w:val="32"/>
          <w:szCs w:val="32"/>
          <w:shd w:val="clear" w:fill="FFFFFF"/>
        </w:rPr>
        <w:t>暂无其他需要报告的事项。</w:t>
      </w:r>
    </w:p>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E220F"/>
    <w:rsid w:val="20156066"/>
    <w:rsid w:val="3556413B"/>
    <w:rsid w:val="36F97DA2"/>
    <w:rsid w:val="462007C3"/>
    <w:rsid w:val="6E665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熊玉鹏</cp:lastModifiedBy>
  <dcterms:modified xsi:type="dcterms:W3CDTF">2021-04-29T08:24:42Z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0C342DE663F44AA8895D7E3B79D5A833</vt:lpwstr>
  </property>
</Properties>
</file>