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丰城市乡村振兴局2021年</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乡村振兴局综合股编制，本年度报告中所列数据统计期限自2021年1月1日至2021年12月31日止，并通过丰城市人民政府门户网站中“政府信息公开年报”栏目（网址:</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http://www.jxfc.gov.cn/xxgk-list-fupinban.html</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）平台向社会主动公开，如对本年报有疑问，请与丰城市市乡村振兴局综合股联系（地址：江西省丰城市雷焕路168号民政局四楼，电话：0791－6601617）。</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市委、市政府的正确领导部署下，我局认真贯彻落实《中华人民共和国政府信息公开条例》要求，从乡村振兴工作实际出发，紧紧围绕巩固拓展脱贫攻坚成果同乡村振兴有效衔接相关政策、工作动态，深入推进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仿宋_GB2312"/>
          <w:i w:val="0"/>
          <w:caps w:val="0"/>
          <w:color w:val="000000"/>
          <w:spacing w:val="0"/>
          <w:sz w:val="31"/>
          <w:szCs w:val="31"/>
          <w:shd w:val="clear" w:fill="FFFFFF"/>
          <w:lang w:eastAsia="zh-CN"/>
        </w:rPr>
      </w:pPr>
      <w:r>
        <w:rPr>
          <w:rFonts w:hint="eastAsia" w:ascii="楷体_GB2312" w:hAnsi="楷体_GB2312" w:eastAsia="楷体_GB2312" w:cs="楷体_GB2312"/>
          <w:sz w:val="32"/>
          <w:szCs w:val="32"/>
          <w:lang w:val="en-US" w:eastAsia="zh-CN"/>
        </w:rPr>
        <w:t>（一）加强组织，明确分工。</w:t>
      </w:r>
      <w:r>
        <w:rPr>
          <w:rFonts w:hint="eastAsia" w:ascii="仿宋_GB2312" w:hAnsi="仿宋_GB2312" w:eastAsia="仿宋_GB2312" w:cs="仿宋_GB2312"/>
          <w:sz w:val="32"/>
          <w:szCs w:val="32"/>
          <w:lang w:val="en-US" w:eastAsia="zh-CN"/>
        </w:rPr>
        <w:t>根据市政府要求，我局高度重视信息公开工作，</w:t>
      </w:r>
      <w:r>
        <w:rPr>
          <w:rFonts w:ascii="仿宋_GB2312" w:hAnsi="宋体" w:eastAsia="仿宋_GB2312" w:cs="仿宋_GB2312"/>
          <w:i w:val="0"/>
          <w:caps w:val="0"/>
          <w:color w:val="000000"/>
          <w:spacing w:val="0"/>
          <w:sz w:val="31"/>
          <w:szCs w:val="31"/>
          <w:shd w:val="clear" w:fill="FFFFFF"/>
        </w:rPr>
        <w:t>强化政府信息公开工作的领导责任，</w:t>
      </w:r>
      <w:r>
        <w:rPr>
          <w:rFonts w:hint="eastAsia" w:ascii="仿宋_GB2312" w:hAnsi="宋体" w:eastAsia="仿宋_GB2312" w:cs="仿宋_GB2312"/>
          <w:i w:val="0"/>
          <w:caps w:val="0"/>
          <w:color w:val="000000"/>
          <w:spacing w:val="0"/>
          <w:sz w:val="31"/>
          <w:szCs w:val="31"/>
          <w:shd w:val="clear" w:fill="FFFFFF"/>
          <w:lang w:eastAsia="zh-CN"/>
        </w:rPr>
        <w:t>明确分管领导和联络员，</w:t>
      </w:r>
      <w:r>
        <w:rPr>
          <w:rFonts w:ascii="仿宋_GB2312" w:hAnsi="宋体" w:eastAsia="仿宋_GB2312" w:cs="仿宋_GB2312"/>
          <w:i w:val="0"/>
          <w:caps w:val="0"/>
          <w:color w:val="000000"/>
          <w:spacing w:val="0"/>
          <w:sz w:val="31"/>
          <w:szCs w:val="31"/>
          <w:shd w:val="clear" w:fill="FFFFFF"/>
        </w:rPr>
        <w:t>成立了以</w:t>
      </w:r>
      <w:r>
        <w:rPr>
          <w:rFonts w:hint="eastAsia" w:ascii="仿宋_GB2312" w:hAnsi="宋体" w:eastAsia="仿宋_GB2312" w:cs="仿宋_GB2312"/>
          <w:i w:val="0"/>
          <w:caps w:val="0"/>
          <w:color w:val="000000"/>
          <w:spacing w:val="0"/>
          <w:sz w:val="31"/>
          <w:szCs w:val="31"/>
          <w:shd w:val="clear" w:fill="FFFFFF"/>
          <w:lang w:eastAsia="zh-CN"/>
        </w:rPr>
        <w:t>局长</w:t>
      </w:r>
      <w:r>
        <w:rPr>
          <w:rFonts w:ascii="仿宋_GB2312" w:hAnsi="宋体" w:eastAsia="仿宋_GB2312" w:cs="仿宋_GB2312"/>
          <w:i w:val="0"/>
          <w:caps w:val="0"/>
          <w:color w:val="000000"/>
          <w:spacing w:val="0"/>
          <w:sz w:val="31"/>
          <w:szCs w:val="31"/>
          <w:shd w:val="clear" w:fill="FFFFFF"/>
        </w:rPr>
        <w:t>为组长</w:t>
      </w:r>
      <w:r>
        <w:rPr>
          <w:rFonts w:hint="eastAsia" w:ascii="仿宋_GB2312" w:hAnsi="宋体" w:eastAsia="仿宋_GB2312" w:cs="仿宋_GB2312"/>
          <w:i w:val="0"/>
          <w:caps w:val="0"/>
          <w:color w:val="000000"/>
          <w:spacing w:val="0"/>
          <w:sz w:val="31"/>
          <w:szCs w:val="31"/>
          <w:shd w:val="clear" w:fill="FFFFFF"/>
          <w:lang w:eastAsia="zh-CN"/>
        </w:rPr>
        <w:t>，</w:t>
      </w:r>
      <w:r>
        <w:rPr>
          <w:rFonts w:ascii="仿宋_GB2312" w:hAnsi="宋体" w:eastAsia="仿宋_GB2312" w:cs="仿宋_GB2312"/>
          <w:i w:val="0"/>
          <w:caps w:val="0"/>
          <w:color w:val="000000"/>
          <w:spacing w:val="0"/>
          <w:sz w:val="31"/>
          <w:szCs w:val="31"/>
          <w:shd w:val="clear" w:fill="FFFFFF"/>
        </w:rPr>
        <w:t>分管领导为副组长，计财科、业务科、综合股等相关科室人员为成员的领导小组，</w:t>
      </w:r>
      <w:r>
        <w:rPr>
          <w:rFonts w:hint="eastAsia" w:ascii="仿宋_GB2312" w:hAnsi="宋体" w:eastAsia="仿宋_GB2312" w:cs="仿宋_GB2312"/>
          <w:i w:val="0"/>
          <w:caps w:val="0"/>
          <w:color w:val="000000"/>
          <w:spacing w:val="0"/>
          <w:sz w:val="31"/>
          <w:szCs w:val="31"/>
          <w:shd w:val="clear" w:fill="FFFFFF"/>
          <w:lang w:eastAsia="zh-CN"/>
        </w:rPr>
        <w:t>并</w:t>
      </w:r>
      <w:r>
        <w:rPr>
          <w:rFonts w:ascii="仿宋_GB2312" w:hAnsi="宋体" w:eastAsia="仿宋_GB2312" w:cs="仿宋_GB2312"/>
          <w:i w:val="0"/>
          <w:caps w:val="0"/>
          <w:color w:val="000000"/>
          <w:spacing w:val="0"/>
          <w:sz w:val="31"/>
          <w:szCs w:val="31"/>
          <w:shd w:val="clear" w:fill="FFFFFF"/>
        </w:rPr>
        <w:t>将各项工作落实到具体科室、具体人员</w:t>
      </w:r>
      <w:r>
        <w:rPr>
          <w:rFonts w:hint="eastAsia" w:ascii="仿宋_GB2312" w:hAnsi="宋体" w:eastAsia="仿宋_GB2312" w:cs="仿宋_GB2312"/>
          <w:i w:val="0"/>
          <w:caps w:val="0"/>
          <w:color w:val="000000"/>
          <w:spacing w:val="0"/>
          <w:sz w:val="31"/>
          <w:szCs w:val="31"/>
          <w:shd w:val="clear" w:fill="FFFFFF"/>
          <w:lang w:eastAsia="zh-CN"/>
        </w:rPr>
        <w:t>，确保工作落实到实处。计财科负责发布我局扶贫项目资金、小额信贷、“雨露计划”等信息发布，业务科负责“三类人群”监测帮扶公示公告、收入监测、就业监测等信息发布，综合股负责日常信息、政策文件、政策文解读等工作信息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仿宋_GB2312"/>
          <w:i w:val="0"/>
          <w:caps w:val="0"/>
          <w:color w:val="000000"/>
          <w:spacing w:val="0"/>
          <w:sz w:val="31"/>
          <w:szCs w:val="31"/>
          <w:shd w:val="clear" w:fill="FFFFFF"/>
          <w:lang w:eastAsia="zh-CN"/>
        </w:rPr>
      </w:pPr>
      <w:r>
        <w:rPr>
          <w:rFonts w:hint="eastAsia" w:ascii="楷体_GB2312" w:hAnsi="楷体_GB2312" w:eastAsia="楷体_GB2312" w:cs="楷体_GB2312"/>
          <w:sz w:val="32"/>
          <w:szCs w:val="32"/>
          <w:lang w:val="en-US" w:eastAsia="zh-CN"/>
        </w:rPr>
        <w:t>（二）按时上传政策文件、工作动态。</w:t>
      </w:r>
      <w:r>
        <w:rPr>
          <w:rFonts w:hint="eastAsia" w:ascii="仿宋_GB2312" w:hAnsi="宋体" w:eastAsia="仿宋_GB2312" w:cs="仿宋_GB2312"/>
          <w:i w:val="0"/>
          <w:caps w:val="0"/>
          <w:color w:val="000000"/>
          <w:spacing w:val="0"/>
          <w:sz w:val="31"/>
          <w:szCs w:val="31"/>
          <w:shd w:val="clear" w:fill="FFFFFF"/>
          <w:lang w:eastAsia="zh-CN"/>
        </w:rPr>
        <w:t>为有效推动政务信息公开工作，市乡村振兴局坚持实时更新政务公开信息，要求各科室根据工作实际及时公开工作信息，分栏目更新信息，让社会了解我局工作动态，不断提升政府信息公开“第一平台”功能，整合资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楷体_GB2312" w:hAnsi="楷体_GB2312" w:eastAsia="楷体_GB2312" w:cs="楷体_GB2312"/>
          <w:sz w:val="32"/>
          <w:szCs w:val="32"/>
          <w:lang w:val="en-US" w:eastAsia="zh-CN"/>
        </w:rPr>
        <w:t>（三）突出工作重点，明确公开内容。</w:t>
      </w:r>
      <w:r>
        <w:rPr>
          <w:rFonts w:hint="eastAsia" w:ascii="仿宋_GB2312" w:hAnsi="宋体" w:eastAsia="仿宋_GB2312" w:cs="仿宋_GB2312"/>
          <w:i w:val="0"/>
          <w:caps w:val="0"/>
          <w:color w:val="000000"/>
          <w:spacing w:val="0"/>
          <w:sz w:val="31"/>
          <w:szCs w:val="31"/>
          <w:shd w:val="clear" w:fill="FFFFFF"/>
          <w:lang w:val="en-US" w:eastAsia="zh-CN"/>
        </w:rPr>
        <w:t>2021年以来，乡村振兴局从工作实际出发，及时发布有关乡村振兴的政策信息，同时紧紧围绕我市巩固拓展脱贫攻坚成果同乡村振兴有效衔接有关工作，发布了我市财政专项扶贫衔接资金分配情况、小额信贷贷款情况、扶贫小额信贷财政贴息资金、巩固拓展脱贫攻坚成果和乡村振兴项目资金、优秀帮扶干部、第一书记先进事迹、“三类人员”监测帮扶等重点民生事项。通过政府门户网站，让社会了解乡村振兴工作，参与乡村振兴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Fonts w:hint="eastAsia" w:ascii="黑体" w:hAnsi="黑体" w:eastAsia="黑体" w:cs="黑体"/>
          <w:i w:val="0"/>
          <w:caps w:val="0"/>
          <w:color w:val="000000"/>
          <w:spacing w:val="0"/>
          <w:sz w:val="32"/>
          <w:szCs w:val="32"/>
          <w:shd w:val="clear" w:fill="FFFFFF"/>
          <w:lang w:val="en-US" w:eastAsia="zh-CN"/>
        </w:rPr>
        <w:t>二、</w:t>
      </w:r>
      <w:r>
        <w:rPr>
          <w:rFonts w:hint="eastAsia" w:ascii="黑体" w:hAnsi="黑体" w:eastAsia="黑体" w:cs="黑体"/>
          <w:i w:val="0"/>
          <w:caps w:val="0"/>
          <w:color w:val="333333"/>
          <w:spacing w:val="0"/>
          <w:sz w:val="32"/>
          <w:szCs w:val="32"/>
          <w:shd w:val="clear" w:fill="FFFFFF"/>
        </w:rPr>
        <w:t>主动公开政府信息情况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i w:val="0"/>
          <w:caps w:val="0"/>
          <w:color w:val="333333"/>
          <w:spacing w:val="0"/>
          <w:sz w:val="32"/>
          <w:szCs w:val="32"/>
          <w:shd w:val="clear" w:fill="FFFFFF"/>
          <w:lang w:eastAsia="zh-CN"/>
        </w:rPr>
      </w:pPr>
      <w:r>
        <w:rPr>
          <w:rFonts w:hint="eastAsia" w:ascii="黑体" w:hAnsi="黑体" w:eastAsia="黑体" w:cs="黑体"/>
          <w:i w:val="0"/>
          <w:caps w:val="0"/>
          <w:color w:val="333333"/>
          <w:spacing w:val="0"/>
          <w:sz w:val="32"/>
          <w:szCs w:val="32"/>
          <w:shd w:val="clear" w:fill="FFFFFF"/>
          <w:lang w:eastAsia="zh-CN"/>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_GB2312" w:hAnsi="仿宋_GB2312" w:eastAsia="仿宋_GB2312" w:cs="仿宋_GB2312"/>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虽然我局政务公开工作有序开展，但仍然存在一些问题：一是存在重复发布文件的情况。由于各科室工作存在交叉，有时候会同步发文，导致一个文件发布多次的情况。二是发布内容单一。单位以文件政策类信息发布为主，日常单位开展活动信息相对较少。三是信息发布质量有待进一步提高，发布的文件存在一些常见错误，比如一些错敏字、身份证未打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今后过程中，我们将正视问题，开展整改，推进政务公开工作更好发展。一是明确专门人员，每周核对上传信息，确保信息上传不重复，规避常见错误。二是要丰富信息发布内容，扩大信息公开广度，将单位日常工作活动信息以文字形式公布在政务公开网上，让社会更了解我局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1906" w:h="16838"/>
      <w:pgMar w:top="2098" w:right="141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D579E"/>
    <w:multiLevelType w:val="singleLevel"/>
    <w:tmpl w:val="61DD579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NDcxM2Q4YjhlM2I2YmE5NjU2ODAyZTBjYjVjYTYifQ=="/>
  </w:docVars>
  <w:rsids>
    <w:rsidRoot w:val="00000000"/>
    <w:rsid w:val="08DA2D97"/>
    <w:rsid w:val="18FF5F14"/>
    <w:rsid w:val="291C1DB9"/>
    <w:rsid w:val="29F05F05"/>
    <w:rsid w:val="3A36706C"/>
    <w:rsid w:val="4E787A3E"/>
    <w:rsid w:val="52972904"/>
    <w:rsid w:val="6AD27F65"/>
    <w:rsid w:val="6F8F3685"/>
    <w:rsid w:val="7BE5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2137</Words>
  <Characters>2241</Characters>
  <Lines>0</Lines>
  <Paragraphs>0</Paragraphs>
  <TotalTime>0</TotalTime>
  <ScaleCrop>false</ScaleCrop>
  <LinksUpToDate>false</LinksUpToDate>
  <CharactersWithSpaces>2241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南风吹故人</cp:lastModifiedBy>
  <dcterms:modified xsi:type="dcterms:W3CDTF">2023-06-12T08:23:27Z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5D798CD6129A4360AA94A1A66CE5CB15_13</vt:lpwstr>
  </property>
</Properties>
</file>