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Calibri" w:eastAsia="仿宋_GB2312" w:cs="Times New Roman"/>
          <w:kern w:val="2"/>
          <w:sz w:val="30"/>
          <w:szCs w:val="30"/>
          <w:lang w:val="en-US" w:eastAsia="zh-CN" w:bidi="ar-SA"/>
        </w:rPr>
      </w:pPr>
      <w:r>
        <w:rPr>
          <w:rFonts w:hint="eastAsia" w:ascii="黑体" w:hAnsi="黑体" w:eastAsia="黑体"/>
          <w:kern w:val="2"/>
          <w:sz w:val="44"/>
          <w:szCs w:val="44"/>
          <w:lang w:val="en-US" w:eastAsia="zh-CN"/>
        </w:rPr>
        <w:t>丰城市退役军人事务局2022</w:t>
      </w:r>
      <w:r>
        <w:rPr>
          <w:rFonts w:hint="eastAsia" w:ascii="黑体" w:hAnsi="黑体" w:eastAsia="黑体"/>
          <w:kern w:val="2"/>
          <w:sz w:val="44"/>
          <w:szCs w:val="44"/>
        </w:rPr>
        <w:t>年</w:t>
      </w:r>
      <w:r>
        <w:rPr>
          <w:rFonts w:hint="eastAsia" w:ascii="黑体" w:hAnsi="黑体" w:eastAsia="黑体"/>
          <w:kern w:val="2"/>
          <w:sz w:val="44"/>
          <w:szCs w:val="44"/>
          <w:lang w:val="en-US" w:eastAsia="zh-CN"/>
        </w:rPr>
        <w:t>度</w:t>
      </w:r>
      <w:r>
        <w:rPr>
          <w:rFonts w:hint="eastAsia" w:ascii="黑体" w:hAnsi="黑体" w:eastAsia="黑体"/>
          <w:kern w:val="2"/>
          <w:sz w:val="44"/>
          <w:szCs w:val="44"/>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一、总体情况</w:t>
      </w:r>
      <w:bookmarkStart w:id="0" w:name="_GoBack"/>
      <w:bookmarkEnd w:id="0"/>
    </w:p>
    <w:p>
      <w:pPr>
        <w:ind w:firstLine="600" w:firstLineChars="200"/>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2022年度，我局认真贯彻市委、市政府关于全面推进政务公开的工作部署，健全领导体质，完善工作机制，认真做好政府信息公开工作。我局认真贯彻《政府信息公开条例》的各项要求，以“正常化、规范化、制度化”为着力点，促进了政府信息公开工作规范、有序、健康发展。现将有关情况报告如下：</w:t>
      </w:r>
    </w:p>
    <w:p>
      <w:pPr>
        <w:ind w:firstLine="600" w:firstLineChars="200"/>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一)主动公开政府信息情况。我局严格落实信息公开条例，重点公开财政预算、督察督办和问责、重点工作落实情况、建议提案办理等信息。2022年，市退役军人事务局门户网站信息发布回应关切53条，发布政策文件7条。</w:t>
      </w:r>
    </w:p>
    <w:p>
      <w:pPr>
        <w:ind w:firstLine="600" w:firstLineChars="200"/>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(二)依申请公开情况。2022年度，我局未受理依申请公开政府信息。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三)政府信息管理情况。2022年按照市政府政务公开办要求，严格执行信息发布逐级审核机制，力争信息内容的准确性。针对政务服务重点工作要求，尤其是对重点领域工作做到了及时发布，对重要政策文件做到了及时解读，对重要公文做到了严格审核，对舆情进行及时回应。</w:t>
      </w:r>
    </w:p>
    <w:p>
      <w:pPr>
        <w:ind w:firstLine="600" w:firstLineChars="200"/>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四)政府信息公开平台建设情况。我单位扎实推进了决策、执行、管理、服务、结果公开和重点领域信息公开，以公开促落实、以公开促规范、以公开促服务，有力保障了人民群众的知情权、参与权、表达权和监督权，增强了政府公信力执行力和现代治理能力。</w:t>
      </w:r>
    </w:p>
    <w:p>
      <w:pPr>
        <w:ind w:firstLine="600" w:firstLineChars="200"/>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五)监督保障情况。一是安排专人专职负责政务公开工作。二是建立政府信息公开工作情况月通报制度，每月开展找错。三是发布《丰城市政务公开社会评议制度》，及时更新政务信息，提升了公开质量和实效。四是责任追究结果方面，我单位2022年未发生政务公开被追究责任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1</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1</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2022年我单位政府信息公开工作存在的主要问题：一是公开信息内容比较单一，人民群众关心的公共事务决策依据类公开信息不多；二是公民参与政务公开工作的意识单薄，网上互动不够。尽管政务公开也做了大量的宣传工作，但人民群众对政务公开的认识重视不够对于非公开的内容界定不理解，对于依申请公开的流程认识不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下一步，我们紧紧围绕中心工作及人民群众关注关切，加强宣传，提高</w:t>
      </w:r>
      <w:r>
        <w:rPr>
          <w:rFonts w:hint="default" w:ascii="仿宋_GB2312" w:hAnsi="Calibri" w:eastAsia="仿宋_GB2312" w:cs="Times New Roman"/>
          <w:kern w:val="2"/>
          <w:sz w:val="30"/>
          <w:szCs w:val="30"/>
          <w:lang w:val="en-US" w:eastAsia="zh-CN" w:bidi="ar-SA"/>
        </w:rPr>
        <w:t>人民群众参政议政水平，完善社会监督机制。运用多种媒介加大政务公开宣传力度，让人民群众熟悉政务公开，提高参政议政水平。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我局严格按照国务院办公厅《政府信息公开信息处理费管理办法》（国办函〔2020〕109号）执行，信息处理费按照超额累进方式计算收费金额，采取按件计收或按量计收方式，2022年我办信息处理费收费情况为零。</w:t>
      </w:r>
    </w:p>
    <w:p>
      <w:pPr>
        <w:adjustRightInd/>
        <w:spacing w:line="240" w:lineRule="auto"/>
        <w:ind w:firstLine="5100" w:firstLineChars="1700"/>
        <w:rPr>
          <w:rFonts w:hint="default" w:ascii="仿宋_GB2312" w:eastAsia="仿宋_GB2312"/>
          <w:kern w:val="2"/>
          <w:sz w:val="30"/>
          <w:szCs w:val="30"/>
          <w:lang w:val="en-US" w:eastAsia="zh-CN"/>
        </w:rPr>
      </w:pPr>
      <w:r>
        <w:rPr>
          <w:rFonts w:hint="eastAsia" w:ascii="仿宋_GB2312" w:eastAsia="仿宋_GB2312"/>
          <w:kern w:val="2"/>
          <w:sz w:val="30"/>
          <w:szCs w:val="30"/>
          <w:lang w:val="en-US" w:eastAsia="zh-CN"/>
        </w:rPr>
        <w:t>丰城市退役军人事务局</w:t>
      </w:r>
    </w:p>
    <w:p>
      <w:pPr>
        <w:wordWrap/>
        <w:adjustRightInd/>
        <w:spacing w:line="240" w:lineRule="auto"/>
        <w:ind w:firstLine="600" w:firstLineChars="200"/>
        <w:jc w:val="center"/>
        <w:rPr>
          <w:rFonts w:hint="default" w:ascii="仿宋_GB2312" w:eastAsia="仿宋_GB2312"/>
          <w:kern w:val="2"/>
          <w:sz w:val="30"/>
          <w:szCs w:val="30"/>
          <w:lang w:val="en-US" w:eastAsia="zh-CN"/>
        </w:rPr>
      </w:pPr>
      <w:r>
        <w:rPr>
          <w:rFonts w:hint="eastAsia" w:ascii="仿宋_GB2312" w:eastAsia="仿宋_GB2312"/>
          <w:kern w:val="2"/>
          <w:sz w:val="30"/>
          <w:szCs w:val="30"/>
          <w:lang w:val="en-US" w:eastAsia="zh-CN"/>
        </w:rPr>
        <w:t xml:space="preserve">                             2023年1月1日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TUyNjIxNTAxMGQyZmI1M2RkM2QwOTI2MDk5YzAifQ=="/>
  </w:docVars>
  <w:rsids>
    <w:rsidRoot w:val="00000000"/>
    <w:rsid w:val="024225AA"/>
    <w:rsid w:val="09F1024B"/>
    <w:rsid w:val="12A7275D"/>
    <w:rsid w:val="1A3E7106"/>
    <w:rsid w:val="237F7BE6"/>
    <w:rsid w:val="2C780431"/>
    <w:rsid w:val="3B5568C2"/>
    <w:rsid w:val="459E5001"/>
    <w:rsid w:val="45E7634F"/>
    <w:rsid w:val="47211AE4"/>
    <w:rsid w:val="49646568"/>
    <w:rsid w:val="4D3D2C95"/>
    <w:rsid w:val="4E787A3E"/>
    <w:rsid w:val="50ED4DF1"/>
    <w:rsid w:val="52303F27"/>
    <w:rsid w:val="567D7ED7"/>
    <w:rsid w:val="61587B54"/>
    <w:rsid w:val="646D7E90"/>
    <w:rsid w:val="69942568"/>
    <w:rsid w:val="6D4C4D02"/>
    <w:rsid w:val="75DB6A83"/>
    <w:rsid w:val="7CAC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2148</Words>
  <Characters>2279</Characters>
  <Lines>0</Lines>
  <Paragraphs>0</Paragraphs>
  <TotalTime>2</TotalTime>
  <ScaleCrop>false</ScaleCrop>
  <LinksUpToDate>false</LinksUpToDate>
  <CharactersWithSpaces>2318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灵</cp:lastModifiedBy>
  <dcterms:modified xsi:type="dcterms:W3CDTF">2023-01-10T00:43:23Z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0D65A576F9914061BEC094DCFA735CD8</vt:lpwstr>
  </property>
</Properties>
</file>