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jc w:val="center"/>
        <w:rPr>
          <w:rFonts w:hint="eastAsia" w:ascii="方正小标宋简体" w:hAnsi="黑体" w:eastAsia="方正小标宋简体"/>
          <w:kern w:val="2"/>
          <w:sz w:val="44"/>
          <w:szCs w:val="44"/>
        </w:rPr>
      </w:pPr>
      <w:r>
        <w:rPr>
          <w:rFonts w:hint="eastAsia" w:ascii="方正小标宋简体" w:hAnsi="黑体" w:eastAsia="方正小标宋简体"/>
          <w:kern w:val="2"/>
          <w:sz w:val="44"/>
          <w:szCs w:val="44"/>
          <w:lang w:val="en-US" w:eastAsia="zh-CN"/>
        </w:rPr>
        <w:t>宜春丰城高新区2021</w:t>
      </w:r>
      <w:r>
        <w:rPr>
          <w:rFonts w:hint="eastAsia" w:ascii="方正小标宋简体" w:hAnsi="黑体" w:eastAsia="方正小标宋简体"/>
          <w:kern w:val="2"/>
          <w:sz w:val="44"/>
          <w:szCs w:val="44"/>
        </w:rPr>
        <w:t>年政府信息公开</w:t>
      </w:r>
    </w:p>
    <w:p>
      <w:pPr>
        <w:adjustRightInd/>
        <w:spacing w:line="240" w:lineRule="auto"/>
        <w:jc w:val="center"/>
        <w:rPr>
          <w:rFonts w:hint="eastAsia" w:ascii="方正小标宋简体" w:hAnsi="黑体" w:eastAsia="方正小标宋简体"/>
          <w:kern w:val="2"/>
          <w:sz w:val="44"/>
          <w:szCs w:val="44"/>
          <w:lang w:eastAsia="zh-CN"/>
        </w:rPr>
      </w:pPr>
      <w:r>
        <w:rPr>
          <w:rFonts w:hint="eastAsia" w:ascii="方正小标宋简体" w:hAnsi="黑体" w:eastAsia="方正小标宋简体"/>
          <w:kern w:val="2"/>
          <w:sz w:val="44"/>
          <w:szCs w:val="44"/>
          <w:lang w:val="en-US" w:eastAsia="zh-CN"/>
        </w:rPr>
        <w:t>工作</w:t>
      </w:r>
      <w:r>
        <w:rPr>
          <w:rFonts w:hint="eastAsia" w:ascii="方正小标宋简体" w:hAnsi="黑体" w:eastAsia="方正小标宋简体"/>
          <w:kern w:val="2"/>
          <w:sz w:val="44"/>
          <w:szCs w:val="44"/>
        </w:rPr>
        <w:t>年</w:t>
      </w:r>
      <w:r>
        <w:rPr>
          <w:rFonts w:hint="eastAsia" w:ascii="方正小标宋简体" w:hAnsi="黑体" w:eastAsia="方正小标宋简体"/>
          <w:kern w:val="2"/>
          <w:sz w:val="44"/>
          <w:szCs w:val="44"/>
          <w:lang w:val="en-US" w:eastAsia="zh-CN"/>
        </w:rPr>
        <w:t>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_GB2312" w:hAnsi="仿宋_GB2312" w:eastAsia="仿宋_GB2312" w:cs="仿宋_GB2312"/>
          <w:bCs/>
          <w:sz w:val="32"/>
          <w:szCs w:val="32"/>
        </w:rPr>
        <w:t>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宜春丰城高新技术产业开发区管理委员会办公室编制，本年度报告中所列数据统计期限自2021年1月1日至2021年12月31日止，并通过丰城市人民政府门户网站中“政府信息公开年报”栏目（网址:</w:t>
      </w:r>
      <w:r>
        <w:rPr>
          <w:rFonts w:ascii="仿宋" w:hAnsi="仿宋" w:eastAsia="仿宋" w:cs="仿宋"/>
          <w:i w:val="0"/>
          <w:iCs w:val="0"/>
          <w:caps w:val="0"/>
          <w:color w:val="333333"/>
          <w:spacing w:val="0"/>
          <w:sz w:val="30"/>
          <w:szCs w:val="30"/>
          <w:shd w:val="clear" w:fill="FFFFFF"/>
        </w:rPr>
        <w:t>http://www.jxfc.gov.cn/xxgk-show-123630.html</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）等平台向社会主动公开，如对本年报有疑问，请与宜春丰城高新技术产业开发区管理委员会办公室联系（地址：</w:t>
      </w:r>
      <w:r>
        <w:rPr>
          <w:rFonts w:ascii="仿宋_GB2312" w:hAnsi="仿宋_GB2312" w:eastAsia="仿宋_GB2312" w:cs="仿宋_GB2312"/>
          <w:i w:val="0"/>
          <w:iCs w:val="0"/>
          <w:caps w:val="0"/>
          <w:color w:val="333333"/>
          <w:spacing w:val="0"/>
          <w:sz w:val="31"/>
          <w:szCs w:val="31"/>
          <w:shd w:val="clear" w:fill="FFFFFF"/>
        </w:rPr>
        <w:t>丰城市高新大道18号313室</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，电话：</w:t>
      </w:r>
      <w:r>
        <w:rPr>
          <w:rFonts w:ascii="仿宋_GB2312" w:hAnsi="仿宋_GB2312" w:eastAsia="仿宋_GB2312" w:cs="仿宋_GB2312"/>
          <w:i w:val="0"/>
          <w:iCs w:val="0"/>
          <w:caps w:val="0"/>
          <w:color w:val="333333"/>
          <w:spacing w:val="0"/>
          <w:sz w:val="31"/>
          <w:szCs w:val="31"/>
          <w:shd w:val="clear" w:fill="FFFFFF"/>
        </w:rPr>
        <w:t>0795-6240981</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bCs/>
          <w:sz w:val="30"/>
          <w:szCs w:val="30"/>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一、总体情况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_GB2312" w:hAnsi="仿宋_GB2312" w:eastAsia="仿宋_GB2312" w:cs="仿宋_GB2312"/>
          <w:bCs/>
          <w:sz w:val="30"/>
          <w:szCs w:val="30"/>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2021年，我委以习近平新时代中国特色社会主义思想为指导，严格落实国务院、省、市等各级政府关于全面推进政务公开工作的部署，全面贯彻《条例》《规定》等文件精神，</w:t>
      </w:r>
      <w:bookmarkStart w:id="0" w:name="_Hlk92638693"/>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坚持</w:t>
      </w:r>
      <w:bookmarkEnd w:id="0"/>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以提升政务公开质量为主线，以提高政府工作透明度为抓手，深化重点领域信息公开，增强公开实效，切实提升人民群众获得感和满意度</w:t>
      </w:r>
      <w:r>
        <w:rPr>
          <w:rFonts w:hint="eastAsia" w:ascii="仿宋_GB2312" w:hAnsi="仿宋_GB2312" w:eastAsia="仿宋_GB2312" w:cs="仿宋_GB2312"/>
          <w:bCs/>
          <w:sz w:val="30"/>
          <w:szCs w:val="30"/>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 w:hAnsi="仿宋" w:eastAsia="仿宋" w:cs="仿宋"/>
          <w:b/>
          <w:bCs w:val="0"/>
          <w:color w:val="000000" w:themeColor="text1"/>
          <w:sz w:val="32"/>
          <w:szCs w:val="32"/>
          <w:shd w:val="clear" w:color="auto" w:fill="FFFFFF"/>
          <w14:textFill>
            <w14:solidFill>
              <w14:schemeClr w14:val="tx1"/>
            </w14:solidFill>
          </w14:textFill>
        </w:rPr>
      </w:pPr>
      <w:r>
        <w:rPr>
          <w:rFonts w:hint="eastAsia" w:ascii="仿宋" w:hAnsi="仿宋" w:eastAsia="仿宋" w:cs="仿宋"/>
          <w:b/>
          <w:bCs w:val="0"/>
          <w:color w:val="000000" w:themeColor="text1"/>
          <w:sz w:val="32"/>
          <w:szCs w:val="32"/>
          <w:shd w:val="clear" w:color="auto" w:fill="FFFFFF"/>
          <w14:textFill>
            <w14:solidFill>
              <w14:schemeClr w14:val="tx1"/>
            </w14:solidFill>
          </w14:textFill>
        </w:rPr>
        <w:t>（一）主动公开政府信息情况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shd w:val="clear" w:color="auto" w:fill="FFFFFF"/>
          <w14:textFill>
            <w14:solidFill>
              <w14:schemeClr w14:val="tx1"/>
            </w14:solidFill>
          </w14:textFill>
        </w:rPr>
        <w:t>严格落实制度，完善公开流程。</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按照《政务公开信息实施方案》等相关要求，进一步加强政务公开制度建设，按照“应上网、尽上网”的原则，实行信息公开三级审核制度，为政府信息公开的准确性、完整性和时效性提供了制度保障。 2021年高新区通过不同渠道和方式主动公开各类政府信息1000余条，其中政府门户网站公开信息143条，通过“宜春丰城高新区”微信公众号发布政务信息943条。通过人民网、中国江西网、中国高新网、江西日报、中国高新技术产业导报等新闻媒体主动公开信息69条。接收市政府“12345”市民热线办转送单105件，办结105件，被宜春选为优秀典型12345工单2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 w:hAnsi="仿宋" w:eastAsia="仿宋" w:cs="仿宋"/>
          <w:b/>
          <w:bCs w:val="0"/>
          <w:color w:val="000000" w:themeColor="text1"/>
          <w:sz w:val="32"/>
          <w:szCs w:val="32"/>
          <w:shd w:val="clear" w:color="auto" w:fill="FFFFFF"/>
          <w14:textFill>
            <w14:solidFill>
              <w14:schemeClr w14:val="tx1"/>
            </w14:solidFill>
          </w14:textFill>
        </w:rPr>
      </w:pPr>
      <w:r>
        <w:rPr>
          <w:rFonts w:hint="eastAsia" w:ascii="仿宋" w:hAnsi="仿宋" w:eastAsia="仿宋" w:cs="仿宋"/>
          <w:b/>
          <w:bCs w:val="0"/>
          <w:color w:val="000000" w:themeColor="text1"/>
          <w:sz w:val="32"/>
          <w:szCs w:val="32"/>
          <w:shd w:val="clear" w:color="auto" w:fill="FFFFFF"/>
          <w14:textFill>
            <w14:solidFill>
              <w14:schemeClr w14:val="tx1"/>
            </w14:solidFill>
          </w14:textFill>
        </w:rPr>
        <w:t>（二）依申请公开情况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2"/>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0"/>
          <w:szCs w:val="30"/>
          <w:shd w:val="clear" w:color="auto" w:fill="FFFFFF"/>
          <w:lang w:val="en-US" w:eastAsia="zh-CN" w:bidi="ar-SA"/>
          <w14:textFill>
            <w14:solidFill>
              <w14:schemeClr w14:val="tx1"/>
            </w14:solidFill>
          </w14:textFill>
        </w:rPr>
        <w:t>加强工作协作，做好信息对接。</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 xml:space="preserve">在工作中与市政府信息公开办建立了良好的沟通机制，主动做好与市政府信息公开办的依申请公开对接工作。2021年高新区共收到依申请公开件1件，为线下邮寄申请，其中引起行政复议1件。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 w:hAnsi="仿宋" w:eastAsia="仿宋" w:cs="仿宋"/>
          <w:b/>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val="0"/>
          <w:color w:val="000000" w:themeColor="text1"/>
          <w:sz w:val="32"/>
          <w:szCs w:val="32"/>
          <w:shd w:val="clear" w:color="auto" w:fill="FFFFFF"/>
          <w:lang w:val="en-US" w:eastAsia="zh-CN"/>
          <w14:textFill>
            <w14:solidFill>
              <w14:schemeClr w14:val="tx1"/>
            </w14:solidFill>
          </w14:textFill>
        </w:rPr>
        <w:t>（三）政府信息管理情况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bCs w:val="0"/>
          <w:color w:val="000000" w:themeColor="text1"/>
          <w:sz w:val="30"/>
          <w:szCs w:val="30"/>
          <w:shd w:val="clear" w:color="auto" w:fill="FFFFFF"/>
          <w14:textFill>
            <w14:solidFill>
              <w14:schemeClr w14:val="tx1"/>
            </w14:solidFill>
          </w14:textFill>
        </w:rPr>
        <w:t>持续强化业务，探索公开规范。</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按照“五公开”要求和原则，持续推动年度发展计划等信息的主动公开，做好部门预算公开，并及时加强与市级财政部门的沟通交流；继续做好各类行政审批结果和各类公示事项、通知公告类信息的主动公开。规范高新区重点工程建设信息相关公开标准和程序，加大项目审批、招投标、施工管理、监督检查等信息公开力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 w:hAnsi="仿宋" w:eastAsia="仿宋" w:cs="仿宋"/>
          <w:b/>
          <w:bCs w:val="0"/>
          <w:color w:val="000000" w:themeColor="text1"/>
          <w:sz w:val="32"/>
          <w:szCs w:val="32"/>
          <w:shd w:val="clear" w:color="auto" w:fill="FFFFFF"/>
          <w14:textFill>
            <w14:solidFill>
              <w14:schemeClr w14:val="tx1"/>
            </w14:solidFill>
          </w14:textFill>
        </w:rPr>
      </w:pPr>
      <w:r>
        <w:rPr>
          <w:rFonts w:hint="eastAsia" w:ascii="仿宋" w:hAnsi="仿宋" w:eastAsia="仿宋" w:cs="仿宋"/>
          <w:b/>
          <w:bCs w:val="0"/>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bCs w:val="0"/>
          <w:color w:val="000000" w:themeColor="text1"/>
          <w:sz w:val="32"/>
          <w:szCs w:val="32"/>
          <w:shd w:val="clear" w:color="auto" w:fill="FFFFFF"/>
          <w14:textFill>
            <w14:solidFill>
              <w14:schemeClr w14:val="tx1"/>
            </w14:solidFill>
          </w14:textFill>
        </w:rPr>
        <w:t>四）平台建设情况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561"/>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shd w:val="clear" w:color="auto" w:fill="FFFFFF"/>
          <w14:textFill>
            <w14:solidFill>
              <w14:schemeClr w14:val="tx1"/>
            </w14:solidFill>
          </w14:textFill>
        </w:rPr>
        <w:t>加强学习培训，提升工作能力。</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严格按照考核评分标准，分条逐项对管委会的信息公开情况进行完善，确保公开工作做到规范、高效、便民，切实增强做好公开工作的自觉性和责任感。组织机关全体工作人员以观看视频的方式开展集中学习政务信息公开相关知识，加强政策理论学习，增强专业素养，强化公开理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shd w:val="clear" w:color="auto" w:fill="FFFFFF"/>
          <w14:textFill>
            <w14:solidFill>
              <w14:schemeClr w14:val="tx1"/>
            </w14:solidFill>
          </w14:textFill>
        </w:rPr>
        <w:t>丰富形式载体，扩展公开内容。</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通过政府网站、微信公众号等政务新媒体，不断优化、提高公开信息的透明度和服务性，方便群众获取政府信息。依托门户网站做好政务公开和信息发布，全年网站发布各类信息143条。充分发挥新媒体政务公开作用，高新区微信公众号全年共推送943篇内容，总阅读数超20万余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 w:hAnsi="仿宋" w:eastAsia="仿宋" w:cs="仿宋"/>
          <w:b/>
          <w:bCs w:val="0"/>
          <w:color w:val="000000" w:themeColor="text1"/>
          <w:sz w:val="32"/>
          <w:szCs w:val="32"/>
          <w:shd w:val="clear" w:color="auto" w:fill="FFFFFF"/>
          <w14:textFill>
            <w14:solidFill>
              <w14:schemeClr w14:val="tx1"/>
            </w14:solidFill>
          </w14:textFill>
        </w:rPr>
      </w:pPr>
      <w:r>
        <w:rPr>
          <w:rFonts w:hint="eastAsia" w:ascii="仿宋" w:hAnsi="仿宋" w:eastAsia="仿宋" w:cs="仿宋"/>
          <w:b/>
          <w:bCs w:val="0"/>
          <w:color w:val="000000" w:themeColor="text1"/>
          <w:sz w:val="32"/>
          <w:szCs w:val="32"/>
          <w:shd w:val="clear" w:color="auto" w:fill="FFFFFF"/>
          <w14:textFill>
            <w14:solidFill>
              <w14:schemeClr w14:val="tx1"/>
            </w14:solidFill>
          </w14:textFill>
        </w:rPr>
        <w:t>（五）监督保障情况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shd w:val="clear" w:color="auto" w:fill="FFFFFF"/>
          <w:lang w:val="en-US" w:eastAsia="zh-CN"/>
          <w14:textFill>
            <w14:solidFill>
              <w14:schemeClr w14:val="tx1"/>
            </w14:solidFill>
          </w14:textFill>
        </w:rPr>
        <w:t>明确责任，强化监督</w:t>
      </w:r>
      <w:r>
        <w:rPr>
          <w:rFonts w:hint="eastAsia" w:ascii="仿宋_GB2312" w:hAnsi="仿宋_GB2312" w:eastAsia="仿宋_GB2312" w:cs="仿宋_GB2312"/>
          <w:b/>
          <w:bCs w:val="0"/>
          <w:color w:val="000000" w:themeColor="text1"/>
          <w:sz w:val="30"/>
          <w:szCs w:val="30"/>
          <w:shd w:val="clear" w:color="auto" w:fill="FFFFFF"/>
          <w14:textFill>
            <w14:solidFill>
              <w14:schemeClr w14:val="tx1"/>
            </w14:solidFill>
          </w14:textFill>
        </w:rPr>
        <w:t>。</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根据市委、市政府工作部署，我委结合实际情况成立了领导小组，下设工作组于办公室，具体负责政务公开的日常工作，将工作职责明确到个人。不定期检查政务公开工作，鼓励干部采用自查和互查相结合的方式，积极参与监督，提升政务公开工作的准确性、及时性。确保涉及公众利益，需要广泛知晓的政务信息，都能依法、全面、及时公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本年度未发生责任追究情况。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二、主动公开政府信息情况</w:t>
      </w:r>
    </w:p>
    <w:tbl>
      <w:tblPr>
        <w:tblStyle w:val="4"/>
        <w:tblpPr w:leftFromText="180" w:rightFromText="180" w:vertAnchor="text" w:horzAnchor="page" w:tblpX="1890" w:tblpY="553"/>
        <w:tblOverlap w:val="never"/>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811"/>
        <w:gridCol w:w="2137"/>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9" w:type="dxa"/>
            <w:gridSpan w:val="4"/>
            <w:vAlign w:val="center"/>
          </w:tcPr>
          <w:p>
            <w:pPr>
              <w:pStyle w:val="2"/>
              <w:shd w:val="clear" w:color="auto" w:fill="FFFFFF"/>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Merge w:val="restart"/>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信息内容</w:t>
            </w:r>
          </w:p>
        </w:tc>
        <w:tc>
          <w:tcPr>
            <w:tcW w:w="1811" w:type="dxa"/>
            <w:vMerge w:val="restart"/>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本年制发件数</w:t>
            </w:r>
          </w:p>
        </w:tc>
        <w:tc>
          <w:tcPr>
            <w:tcW w:w="2137" w:type="dxa"/>
            <w:vMerge w:val="restart"/>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本年废止件数</w:t>
            </w:r>
          </w:p>
        </w:tc>
        <w:tc>
          <w:tcPr>
            <w:tcW w:w="2645" w:type="dxa"/>
            <w:vMerge w:val="restart"/>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Merge w:val="continue"/>
            <w:vAlign w:val="center"/>
          </w:tcPr>
          <w:p>
            <w:pPr>
              <w:pStyle w:val="2"/>
              <w:shd w:val="clear" w:color="auto" w:fill="FFFFFF"/>
              <w:jc w:val="left"/>
              <w:rPr>
                <w:rFonts w:cs="微软雅黑" w:asciiTheme="minorEastAsia" w:hAnsiTheme="minorEastAsia" w:eastAsiaTheme="minorEastAsia"/>
                <w:sz w:val="21"/>
                <w:szCs w:val="21"/>
              </w:rPr>
            </w:pPr>
          </w:p>
        </w:tc>
        <w:tc>
          <w:tcPr>
            <w:tcW w:w="1811" w:type="dxa"/>
            <w:vMerge w:val="continue"/>
            <w:vAlign w:val="center"/>
          </w:tcPr>
          <w:p>
            <w:pPr>
              <w:pStyle w:val="2"/>
              <w:shd w:val="clear" w:color="auto" w:fill="FFFFFF"/>
              <w:jc w:val="center"/>
              <w:rPr>
                <w:rFonts w:cs="微软雅黑" w:asciiTheme="minorEastAsia" w:hAnsiTheme="minorEastAsia" w:eastAsiaTheme="minorEastAsia"/>
                <w:sz w:val="21"/>
                <w:szCs w:val="21"/>
              </w:rPr>
            </w:pPr>
          </w:p>
        </w:tc>
        <w:tc>
          <w:tcPr>
            <w:tcW w:w="2137" w:type="dxa"/>
            <w:vMerge w:val="continue"/>
            <w:vAlign w:val="center"/>
          </w:tcPr>
          <w:p>
            <w:pPr>
              <w:pStyle w:val="2"/>
              <w:shd w:val="clear" w:color="auto" w:fill="FFFFFF"/>
              <w:jc w:val="center"/>
              <w:rPr>
                <w:rFonts w:cs="微软雅黑" w:asciiTheme="minorEastAsia" w:hAnsiTheme="minorEastAsia" w:eastAsiaTheme="minorEastAsia"/>
                <w:sz w:val="21"/>
                <w:szCs w:val="21"/>
              </w:rPr>
            </w:pPr>
          </w:p>
        </w:tc>
        <w:tc>
          <w:tcPr>
            <w:tcW w:w="2645" w:type="dxa"/>
            <w:vMerge w:val="continue"/>
            <w:vAlign w:val="center"/>
          </w:tcPr>
          <w:p>
            <w:pPr>
              <w:pStyle w:val="2"/>
              <w:shd w:val="clear" w:color="auto" w:fill="FFFFFF"/>
              <w:jc w:val="center"/>
              <w:rPr>
                <w:rFonts w:cs="微软雅黑"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规章</w:t>
            </w:r>
          </w:p>
        </w:tc>
        <w:tc>
          <w:tcPr>
            <w:tcW w:w="1811"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c>
          <w:tcPr>
            <w:tcW w:w="2137"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c>
          <w:tcPr>
            <w:tcW w:w="2645"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规范性文件</w:t>
            </w:r>
          </w:p>
        </w:tc>
        <w:tc>
          <w:tcPr>
            <w:tcW w:w="1811"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c>
          <w:tcPr>
            <w:tcW w:w="2137"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c>
          <w:tcPr>
            <w:tcW w:w="2645"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9" w:type="dxa"/>
            <w:gridSpan w:val="4"/>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信息内容</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行政许可</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9" w:type="dxa"/>
            <w:gridSpan w:val="4"/>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信息内容</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行政处罚</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行政强制</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9" w:type="dxa"/>
            <w:gridSpan w:val="4"/>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信息内容</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行政事业性收费</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三、收到和处理政府信息公开申请情况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765"/>
        <w:gridCol w:w="1980"/>
        <w:gridCol w:w="587"/>
        <w:gridCol w:w="695"/>
        <w:gridCol w:w="716"/>
        <w:gridCol w:w="789"/>
        <w:gridCol w:w="810"/>
        <w:gridCol w:w="716"/>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493" w:type="dxa"/>
            <w:gridSpan w:val="3"/>
            <w:vMerge w:val="restart"/>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（本列数据的勾稽关系为：第一项加第二项之和，等于第三项加第四项之和）</w:t>
            </w:r>
          </w:p>
        </w:tc>
        <w:tc>
          <w:tcPr>
            <w:tcW w:w="5029" w:type="dxa"/>
            <w:gridSpan w:val="7"/>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493" w:type="dxa"/>
            <w:gridSpan w:val="3"/>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587" w:type="dxa"/>
            <w:vMerge w:val="restart"/>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自然人</w:t>
            </w:r>
          </w:p>
        </w:tc>
        <w:tc>
          <w:tcPr>
            <w:tcW w:w="3726" w:type="dxa"/>
            <w:gridSpan w:val="5"/>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法人或其他组织</w:t>
            </w:r>
          </w:p>
        </w:tc>
        <w:tc>
          <w:tcPr>
            <w:tcW w:w="716" w:type="dxa"/>
            <w:vMerge w:val="restart"/>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493" w:type="dxa"/>
            <w:gridSpan w:val="3"/>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587"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695"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商业企业</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科研机构</w:t>
            </w:r>
          </w:p>
        </w:tc>
        <w:tc>
          <w:tcPr>
            <w:tcW w:w="789"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社会公益组织</w:t>
            </w:r>
          </w:p>
        </w:tc>
        <w:tc>
          <w:tcPr>
            <w:tcW w:w="810"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法律服务机构</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其他</w:t>
            </w:r>
          </w:p>
        </w:tc>
        <w:tc>
          <w:tcPr>
            <w:tcW w:w="716"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493" w:type="dxa"/>
            <w:gridSpan w:val="3"/>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一、本年新收政府信息公开申请数量</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1</w:t>
            </w:r>
          </w:p>
        </w:tc>
        <w:tc>
          <w:tcPr>
            <w:tcW w:w="695"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493" w:type="dxa"/>
            <w:gridSpan w:val="3"/>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二、上年结转政府信息公开申请数量</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0</w:t>
            </w:r>
          </w:p>
        </w:tc>
        <w:tc>
          <w:tcPr>
            <w:tcW w:w="695"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48" w:type="dxa"/>
            <w:vMerge w:val="restart"/>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三、本年度办理结果</w:t>
            </w:r>
          </w:p>
        </w:tc>
        <w:tc>
          <w:tcPr>
            <w:tcW w:w="2745" w:type="dxa"/>
            <w:gridSpan w:val="2"/>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（一）予以公开</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2745" w:type="dxa"/>
            <w:gridSpan w:val="2"/>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（二）部分公开（区分处理的，只计这一情形，不计其他情形）</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restart"/>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（三）不予公开</w:t>
            </w: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1.属于国家秘密</w:t>
            </w:r>
          </w:p>
        </w:tc>
        <w:tc>
          <w:tcPr>
            <w:tcW w:w="587"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2.其他法律行政法规禁止公开</w:t>
            </w:r>
          </w:p>
        </w:tc>
        <w:tc>
          <w:tcPr>
            <w:tcW w:w="587"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3.危及“三安全一稳定”</w:t>
            </w:r>
          </w:p>
        </w:tc>
        <w:tc>
          <w:tcPr>
            <w:tcW w:w="587"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4.保护第三方合法权益</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5.属于三类内部事务信息</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6.属于四类过程性信息</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7.属于行政执法案卷</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8.属于行政查询事项</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restart"/>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（四）无法提供</w:t>
            </w: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1.本机关不掌握相关政府信息</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1</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2.没有现成信息需要另行制作</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3.补正后申请内容仍不明确</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restart"/>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（五）不予处理</w:t>
            </w: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1.信访举报投诉类申请</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2.重复申请</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3.要求提供公开出版物</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4.无正当理由大量反复申请</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5.要求行政机关确认或重新出具已获取信息</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restart"/>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（六）其他处理</w:t>
            </w: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1.申请人无正当理由逾期不补正、行政机关不再处理其政府信息公开申请</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765"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1980" w:type="dxa"/>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2.申请人逾期未按收费通知要求缴纳费用、行政机关不再处理其政府信息公开申请</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48" w:type="dxa"/>
            <w:vMerge w:val="continue"/>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p>
        </w:tc>
        <w:tc>
          <w:tcPr>
            <w:tcW w:w="2745" w:type="dxa"/>
            <w:gridSpan w:val="2"/>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（七）总计</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1</w:t>
            </w:r>
          </w:p>
        </w:tc>
        <w:tc>
          <w:tcPr>
            <w:tcW w:w="695"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493" w:type="dxa"/>
            <w:gridSpan w:val="3"/>
            <w:vAlign w:val="center"/>
          </w:tcPr>
          <w:p>
            <w:pPr>
              <w:pStyle w:val="2"/>
              <w:shd w:val="clear" w:color="auto" w:fill="FFFFFF"/>
              <w:jc w:val="left"/>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t>四、结转下年度继续办理</w:t>
            </w:r>
          </w:p>
        </w:tc>
        <w:tc>
          <w:tcPr>
            <w:tcW w:w="587"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p>
        </w:tc>
        <w:tc>
          <w:tcPr>
            <w:tcW w:w="695"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89"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810"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14:textFill>
                  <w14:solidFill>
                    <w14:schemeClr w14:val="tx1"/>
                  </w14:solidFill>
                </w14:textFill>
              </w:rPr>
            </w:pPr>
            <w:r>
              <w:rPr>
                <w:rFonts w:hint="eastAsia" w:asciiTheme="minorEastAsia" w:hAnsiTheme="minorEastAsia" w:eastAsiaTheme="minorEastAsia" w:cstheme="minorEastAsia"/>
                <w:sz w:val="18"/>
                <w:szCs w:val="18"/>
              </w:rPr>
              <w:t>0</w:t>
            </w:r>
          </w:p>
        </w:tc>
        <w:tc>
          <w:tcPr>
            <w:tcW w:w="716" w:type="dxa"/>
            <w:vAlign w:val="center"/>
          </w:tcPr>
          <w:p>
            <w:pPr>
              <w:pStyle w:val="2"/>
              <w:shd w:val="clear" w:color="auto" w:fill="FFFFFF"/>
              <w:jc w:val="cente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shd w:val="clear" w:color="auto" w:fill="FFFFFF"/>
                <w:lang w:val="en-US" w:eastAsia="zh-CN"/>
                <w14:textFill>
                  <w14:solidFill>
                    <w14:schemeClr w14:val="tx1"/>
                  </w14:solidFill>
                </w14:textFill>
              </w:rPr>
              <w:t>0</w:t>
            </w:r>
            <w:bookmarkStart w:id="1" w:name="_GoBack"/>
            <w:bookmarkEnd w:id="1"/>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四、政府信息公开行政复议、行政诉讼情况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行政复议</w:t>
            </w:r>
          </w:p>
        </w:tc>
        <w:tc>
          <w:tcPr>
            <w:tcW w:w="5682" w:type="dxa"/>
            <w:gridSpan w:val="10"/>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维持</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纠正</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尚未</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审结</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c>
          <w:tcPr>
            <w:tcW w:w="2840"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未经复议直接起诉</w:t>
            </w:r>
          </w:p>
        </w:tc>
        <w:tc>
          <w:tcPr>
            <w:tcW w:w="2842"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维持</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纠正</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尚未</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审结</w:t>
            </w:r>
          </w:p>
        </w:tc>
        <w:tc>
          <w:tcPr>
            <w:tcW w:w="568" w:type="dxa"/>
            <w:vAlign w:val="center"/>
          </w:tcPr>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维持</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纠正</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tc>
        <w:tc>
          <w:tcPr>
            <w:tcW w:w="569"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尚未</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审结</w:t>
            </w:r>
          </w:p>
        </w:tc>
        <w:tc>
          <w:tcPr>
            <w:tcW w:w="569" w:type="dxa"/>
            <w:vAlign w:val="center"/>
          </w:tcPr>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1</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1</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9"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9"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r>
    </w:tbl>
    <w:p>
      <w:pPr>
        <w:pStyle w:val="2"/>
        <w:shd w:val="clear" w:color="auto" w:fill="FFFFFF"/>
        <w:spacing w:before="0" w:beforeAutospacing="0" w:after="0" w:afterAutospacing="0"/>
        <w:rPr>
          <w:rStyle w:val="6"/>
          <w:rFonts w:hint="eastAsia" w:ascii="微软雅黑" w:hAnsi="微软雅黑" w:eastAsia="微软雅黑" w:cs="微软雅黑"/>
          <w:color w:val="000000" w:themeColor="text1"/>
          <w:sz w:val="22"/>
          <w:szCs w:val="22"/>
          <w:shd w:val="clear" w:color="auto" w:fill="FFFFFF"/>
          <w14:textFill>
            <w14:solidFill>
              <w14:schemeClr w14:val="tx1"/>
            </w14:solidFill>
          </w14:textFill>
        </w:rPr>
      </w:pPr>
      <w:r>
        <w:rPr>
          <w:rStyle w:val="6"/>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p>
    <w:p>
      <w:pPr>
        <w:pStyle w:val="2"/>
        <w:shd w:val="clear" w:color="auto" w:fill="FFFFFF"/>
        <w:spacing w:before="0" w:beforeAutospacing="0" w:after="0" w:afterAutospacing="0"/>
        <w:rPr>
          <w:rStyle w:val="6"/>
          <w:rFonts w:hint="eastAsia"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五、存在的主要问题及改进情况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2021年，我委政务公开工作整体运行平稳，但仍存在一些问题。主要表现在宣传和引导工作需要进一步加强，创新意识需要进一步提高，主动公开工作需要进一步深化。</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2021年高新区将切实贯彻落实国务院、省、市各级政府对政务公开工作的要求，重点做好以下几方面工作：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一是加强队伍建设。积极组织工作人员参加信息公开工作的业务培训，不断提高公开意识、业务能力和服务水平。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二是完善工作机制。依托依申请公开平台，严格规范受理、审查、处理、答复、送达等环节，提高工作效率和质量。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三是强化平台建设。依托微信等新媒体平台，不断创新公开形式，以文字、图片和视频相结合的形式，提升人民群众获取信息的便捷度。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四是拓宽公开深度。本着“应公开，尽公开”点原则，在依法、保密的前提下，充分保障人民群众的知情权、监督权。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六、其他需要报告的事项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我区严格按照国务院办公厅《政府信息公开信息处理费管理办法》（国办函〔2020〕109号）执行，信息处理费按照超额累进方式计算收费金额，采取按件计收或按量计收方式，2021年我市信息处理费收费情况为零。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p>
    <w:p>
      <w:pPr>
        <w:spacing w:line="600" w:lineRule="exact"/>
        <w:rPr>
          <w:bCs/>
          <w:color w:val="000000" w:themeColor="text1"/>
          <w:sz w:val="28"/>
          <w:szCs w:val="28"/>
          <w14:textFill>
            <w14:solidFill>
              <w14:schemeClr w14:val="tx1"/>
            </w14:solidFill>
          </w14:textFill>
        </w:rPr>
      </w:pPr>
    </w:p>
    <w:p/>
    <w:sectPr>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NzU4Njk4ZjRkYjUxNGMxZDMwYTdlMTRjNjA1MzIifQ=="/>
  </w:docVars>
  <w:rsids>
    <w:rsidRoot w:val="00F54069"/>
    <w:rsid w:val="000D260C"/>
    <w:rsid w:val="001405EB"/>
    <w:rsid w:val="00187B69"/>
    <w:rsid w:val="001D4055"/>
    <w:rsid w:val="0035627C"/>
    <w:rsid w:val="005313D8"/>
    <w:rsid w:val="00565E1C"/>
    <w:rsid w:val="0062463E"/>
    <w:rsid w:val="00B57BFD"/>
    <w:rsid w:val="00C40B7D"/>
    <w:rsid w:val="00D00596"/>
    <w:rsid w:val="00F54069"/>
    <w:rsid w:val="00F542D5"/>
    <w:rsid w:val="00FD762E"/>
    <w:rsid w:val="07C35693"/>
    <w:rsid w:val="0BCF2858"/>
    <w:rsid w:val="1D0618F5"/>
    <w:rsid w:val="21D8465B"/>
    <w:rsid w:val="2D2D73E2"/>
    <w:rsid w:val="2E636AD4"/>
    <w:rsid w:val="34E65386"/>
    <w:rsid w:val="3BCE45B8"/>
    <w:rsid w:val="4E787A3E"/>
    <w:rsid w:val="5108377B"/>
    <w:rsid w:val="5558300C"/>
    <w:rsid w:val="590E69F5"/>
    <w:rsid w:val="5AB11D7B"/>
    <w:rsid w:val="65A5311F"/>
    <w:rsid w:val="69496BBA"/>
    <w:rsid w:val="6D9B4CD3"/>
    <w:rsid w:val="6FD47AEA"/>
    <w:rsid w:val="76EB40E0"/>
    <w:rsid w:val="7A933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9">
    <w:name w:val="hover13"/>
    <w:basedOn w:val="5"/>
    <w:qFormat/>
    <w:uiPriority w:val="0"/>
    <w:rPr>
      <w:shd w:val="clear" w:fill="929292"/>
    </w:rPr>
  </w:style>
  <w:style w:type="character" w:customStyle="1" w:styleId="10">
    <w:name w:val="article-icon"/>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2773</Words>
  <Characters>2917</Characters>
  <Lines>21</Lines>
  <Paragraphs>6</Paragraphs>
  <TotalTime>32</TotalTime>
  <ScaleCrop>false</ScaleCrop>
  <LinksUpToDate>false</LinksUpToDate>
  <CharactersWithSpaces>2923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2022-01-03T08:22:00Z</dcterms:created>
  <dc:creator>Administrator.BF-20210323HTCR</dc:creator>
  <cp:lastModifiedBy>黄雯婧</cp:lastModifiedBy>
  <cp:lastPrinted>2022-01-17T06:50:00Z</cp:lastPrinted>
  <dcterms:modified xsi:type="dcterms:W3CDTF">2023-10-20T07:34:43Z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7BBBAB7305F7443489AB6E2595817FEB</vt:lpwstr>
  </property>
</Properties>
</file>