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jc w:val="center"/>
        <w:rPr>
          <w:rFonts w:ascii="黑体" w:hAnsi="黑体" w:eastAsia="黑体" w:cs="黑体"/>
          <w:color w:val="000000" w:themeColor="text1"/>
          <w:sz w:val="36"/>
          <w:szCs w:val="36"/>
          <w:shd w:val="clear" w:color="auto" w:fill="FFFFFF"/>
          <w14:textFill>
            <w14:solidFill>
              <w14:schemeClr w14:val="tx1"/>
            </w14:solidFill>
          </w14:textFill>
        </w:rPr>
      </w:pPr>
      <w:bookmarkStart w:id="0" w:name="_GoBack"/>
      <w:r>
        <w:rPr>
          <w:rFonts w:hint="eastAsia" w:ascii="黑体" w:hAnsi="黑体" w:eastAsia="黑体" w:cs="黑体"/>
          <w:color w:val="000000" w:themeColor="text1"/>
          <w:sz w:val="36"/>
          <w:szCs w:val="36"/>
          <w:shd w:val="clear" w:color="auto" w:fill="FFFFFF"/>
          <w14:textFill>
            <w14:solidFill>
              <w14:schemeClr w14:val="tx1"/>
            </w14:solidFill>
          </w14:textFill>
        </w:rPr>
        <w:t>丰城市自然资源局2021年政府信息公开工作</w:t>
      </w:r>
    </w:p>
    <w:p>
      <w:pPr>
        <w:pStyle w:val="4"/>
        <w:shd w:val="clear" w:color="auto" w:fill="FFFFFF"/>
        <w:spacing w:before="0" w:beforeAutospacing="0" w:after="0" w:afterAutospacing="0"/>
        <w:jc w:val="center"/>
        <w:rPr>
          <w:rFonts w:ascii="黑体" w:hAnsi="黑体" w:eastAsia="黑体" w:cs="黑体"/>
          <w:color w:val="000000" w:themeColor="text1"/>
          <w:sz w:val="36"/>
          <w:szCs w:val="36"/>
          <w14:textFill>
            <w14:solidFill>
              <w14:schemeClr w14:val="tx1"/>
            </w14:solidFill>
          </w14:textFill>
        </w:rPr>
      </w:pPr>
      <w:r>
        <w:rPr>
          <w:rFonts w:hint="eastAsia" w:ascii="黑体" w:hAnsi="黑体" w:eastAsia="黑体" w:cs="黑体"/>
          <w:color w:val="000000" w:themeColor="text1"/>
          <w:sz w:val="36"/>
          <w:szCs w:val="36"/>
          <w:shd w:val="clear" w:color="auto" w:fill="FFFFFF"/>
          <w14:textFill>
            <w14:solidFill>
              <w14:schemeClr w14:val="tx1"/>
            </w14:solidFill>
          </w14:textFill>
        </w:rPr>
        <w:t>年度报告</w:t>
      </w:r>
      <w:bookmarkEnd w:id="0"/>
    </w:p>
    <w:p>
      <w:pPr>
        <w:pStyle w:val="4"/>
        <w:shd w:val="clear" w:color="auto" w:fill="FFFFFF"/>
        <w:spacing w:before="0" w:beforeAutospacing="0" w:after="0" w:afterAutospacing="0" w:line="600" w:lineRule="exact"/>
        <w:rPr>
          <w:rStyle w:val="8"/>
          <w:rFonts w:hint="eastAsia" w:ascii="微软雅黑" w:hAnsi="微软雅黑" w:eastAsia="微软雅黑" w:cs="微软雅黑"/>
          <w:color w:val="000000" w:themeColor="text1"/>
          <w:sz w:val="22"/>
          <w:szCs w:val="22"/>
          <w:shd w:val="clear" w:color="auto" w:fill="FFFFFF"/>
          <w14:textFill>
            <w14:solidFill>
              <w14:schemeClr w14:val="tx1"/>
            </w14:solidFill>
          </w14:textFill>
        </w:rPr>
      </w:pPr>
      <w:r>
        <w:rPr>
          <w:rStyle w:val="8"/>
          <w:rFonts w:hint="eastAsia" w:ascii="微软雅黑" w:hAnsi="微软雅黑" w:eastAsia="微软雅黑" w:cs="微软雅黑"/>
          <w:color w:val="000000" w:themeColor="text1"/>
          <w:sz w:val="22"/>
          <w:szCs w:val="22"/>
          <w:shd w:val="clear" w:color="auto" w:fill="FFFFFF"/>
          <w14:textFill>
            <w14:solidFill>
              <w14:schemeClr w14:val="tx1"/>
            </w14:solidFill>
          </w14:textFill>
        </w:rPr>
        <w:t xml:space="preserve">　　 </w:t>
      </w:r>
    </w:p>
    <w:p>
      <w:pPr>
        <w:pStyle w:val="4"/>
        <w:shd w:val="clear" w:color="auto" w:fill="FFFFFF"/>
        <w:spacing w:before="0" w:beforeAutospacing="0" w:after="0" w:afterAutospacing="0" w:line="560" w:lineRule="exact"/>
        <w:ind w:firstLine="580" w:firstLineChars="200"/>
        <w:rPr>
          <w:rStyle w:val="8"/>
          <w:rFonts w:hint="eastAsia" w:ascii="微软雅黑" w:hAnsi="微软雅黑" w:eastAsia="微软雅黑" w:cs="微软雅黑"/>
          <w:color w:val="000000" w:themeColor="text1"/>
          <w:sz w:val="22"/>
          <w:szCs w:val="22"/>
          <w:shd w:val="clear" w:color="auto" w:fill="FFFFFF"/>
          <w14:textFill>
            <w14:solidFill>
              <w14:schemeClr w14:val="tx1"/>
            </w14:solidFill>
          </w14:textFill>
        </w:rPr>
      </w:pPr>
      <w:r>
        <w:rPr>
          <w:rFonts w:hint="eastAsia" w:ascii="仿宋_GB2312" w:eastAsia="仿宋_GB2312"/>
          <w:color w:val="000000"/>
          <w:sz w:val="29"/>
          <w:szCs w:val="29"/>
          <w:shd w:val="clear" w:color="auto" w:fill="FFFFFF"/>
        </w:rPr>
        <w:t>本报告根据《中华人民共和国政府信息公开条例》（国务院令</w:t>
      </w:r>
      <w:r>
        <w:rPr>
          <w:rFonts w:hint="eastAsia" w:ascii="仿宋_GB2312" w:eastAsia="仿宋_GB2312"/>
          <w:color w:val="000000"/>
          <w:sz w:val="29"/>
          <w:szCs w:val="29"/>
        </w:rPr>
        <w:t>711</w:t>
      </w:r>
      <w:r>
        <w:rPr>
          <w:rFonts w:hint="eastAsia" w:ascii="仿宋_GB2312" w:eastAsia="仿宋_GB2312"/>
          <w:color w:val="000000"/>
          <w:sz w:val="29"/>
          <w:szCs w:val="29"/>
          <w:shd w:val="clear" w:color="auto" w:fill="FFFFFF"/>
        </w:rPr>
        <w:t>号）《国务院办公厅政府信息与政务公开办公室关于政府信息公开工作年度报告有关事项的通知》（国办公开办函</w:t>
      </w:r>
      <w:r>
        <w:rPr>
          <w:rFonts w:hint="eastAsia" w:ascii="仿宋_GB2312" w:eastAsia="仿宋_GB2312"/>
          <w:color w:val="000000"/>
          <w:sz w:val="29"/>
          <w:szCs w:val="29"/>
        </w:rPr>
        <w:t>[2019]60</w:t>
      </w:r>
      <w:r>
        <w:rPr>
          <w:rFonts w:hint="eastAsia" w:ascii="仿宋_GB2312" w:eastAsia="仿宋_GB2312"/>
          <w:color w:val="000000"/>
          <w:sz w:val="29"/>
          <w:szCs w:val="29"/>
          <w:shd w:val="clear" w:color="auto" w:fill="FFFFFF"/>
        </w:rPr>
        <w:t>号）等相关文件要求，汇总本单位在丰城市政府网站、政府信息公开平台数据，由丰城市</w:t>
      </w:r>
      <w:r>
        <w:rPr>
          <w:rFonts w:hint="eastAsia" w:ascii="仿宋_GB2312" w:eastAsia="仿宋_GB2312"/>
          <w:color w:val="000000"/>
          <w:sz w:val="29"/>
          <w:szCs w:val="29"/>
        </w:rPr>
        <w:t>自然资源局</w:t>
      </w:r>
      <w:r>
        <w:rPr>
          <w:rFonts w:hint="eastAsia" w:ascii="仿宋_GB2312" w:eastAsia="仿宋_GB2312"/>
          <w:color w:val="000000"/>
          <w:sz w:val="29"/>
          <w:szCs w:val="29"/>
          <w:shd w:val="clear" w:color="auto" w:fill="FFFFFF"/>
        </w:rPr>
        <w:t>办公室编制，本年度报告中所列数据统计期限自</w:t>
      </w:r>
      <w:r>
        <w:rPr>
          <w:rFonts w:hint="eastAsia" w:ascii="仿宋_GB2312" w:eastAsia="仿宋_GB2312"/>
          <w:color w:val="000000"/>
          <w:sz w:val="29"/>
          <w:szCs w:val="29"/>
        </w:rPr>
        <w:t>2021</w:t>
      </w:r>
      <w:r>
        <w:rPr>
          <w:rFonts w:hint="eastAsia" w:ascii="仿宋_GB2312" w:eastAsia="仿宋_GB2312"/>
          <w:color w:val="000000"/>
          <w:sz w:val="29"/>
          <w:szCs w:val="29"/>
          <w:shd w:val="clear" w:color="auto" w:fill="FFFFFF"/>
        </w:rPr>
        <w:t>年</w:t>
      </w:r>
      <w:r>
        <w:rPr>
          <w:rFonts w:hint="eastAsia" w:ascii="仿宋_GB2312" w:eastAsia="仿宋_GB2312"/>
          <w:color w:val="000000"/>
          <w:sz w:val="29"/>
          <w:szCs w:val="29"/>
        </w:rPr>
        <w:t>1</w:t>
      </w:r>
      <w:r>
        <w:rPr>
          <w:rFonts w:hint="eastAsia" w:ascii="仿宋_GB2312" w:eastAsia="仿宋_GB2312"/>
          <w:color w:val="000000"/>
          <w:sz w:val="29"/>
          <w:szCs w:val="29"/>
          <w:shd w:val="clear" w:color="auto" w:fill="FFFFFF"/>
        </w:rPr>
        <w:t>月</w:t>
      </w:r>
      <w:r>
        <w:rPr>
          <w:rFonts w:hint="eastAsia" w:ascii="仿宋_GB2312" w:eastAsia="仿宋_GB2312"/>
          <w:color w:val="000000"/>
          <w:sz w:val="29"/>
          <w:szCs w:val="29"/>
        </w:rPr>
        <w:t>1</w:t>
      </w:r>
      <w:r>
        <w:rPr>
          <w:rFonts w:hint="eastAsia" w:ascii="仿宋_GB2312" w:eastAsia="仿宋_GB2312"/>
          <w:color w:val="000000"/>
          <w:sz w:val="29"/>
          <w:szCs w:val="29"/>
          <w:shd w:val="clear" w:color="auto" w:fill="FFFFFF"/>
        </w:rPr>
        <w:t>日至</w:t>
      </w:r>
      <w:r>
        <w:rPr>
          <w:rFonts w:hint="eastAsia" w:ascii="仿宋_GB2312" w:eastAsia="仿宋_GB2312"/>
          <w:color w:val="000000"/>
          <w:sz w:val="29"/>
          <w:szCs w:val="29"/>
        </w:rPr>
        <w:t>2021</w:t>
      </w:r>
      <w:r>
        <w:rPr>
          <w:rFonts w:hint="eastAsia" w:ascii="仿宋_GB2312" w:eastAsia="仿宋_GB2312"/>
          <w:color w:val="000000"/>
          <w:sz w:val="29"/>
          <w:szCs w:val="29"/>
          <w:shd w:val="clear" w:color="auto" w:fill="FFFFFF"/>
        </w:rPr>
        <w:t>年</w:t>
      </w:r>
      <w:r>
        <w:rPr>
          <w:rFonts w:hint="eastAsia" w:ascii="仿宋_GB2312" w:eastAsia="仿宋_GB2312"/>
          <w:color w:val="000000"/>
          <w:sz w:val="29"/>
          <w:szCs w:val="29"/>
        </w:rPr>
        <w:t>12</w:t>
      </w:r>
      <w:r>
        <w:rPr>
          <w:rFonts w:hint="eastAsia" w:ascii="仿宋_GB2312" w:eastAsia="仿宋_GB2312"/>
          <w:color w:val="000000"/>
          <w:sz w:val="29"/>
          <w:szCs w:val="29"/>
          <w:shd w:val="clear" w:color="auto" w:fill="FFFFFF"/>
        </w:rPr>
        <w:t>月</w:t>
      </w:r>
      <w:r>
        <w:rPr>
          <w:rFonts w:hint="eastAsia" w:ascii="仿宋_GB2312" w:eastAsia="仿宋_GB2312"/>
          <w:color w:val="000000"/>
          <w:sz w:val="29"/>
          <w:szCs w:val="29"/>
        </w:rPr>
        <w:t>31</w:t>
      </w:r>
      <w:r>
        <w:rPr>
          <w:rFonts w:hint="eastAsia" w:ascii="仿宋_GB2312" w:eastAsia="仿宋_GB2312"/>
          <w:color w:val="000000"/>
          <w:sz w:val="29"/>
          <w:szCs w:val="29"/>
          <w:shd w:val="clear" w:color="auto" w:fill="FFFFFF"/>
        </w:rPr>
        <w:t>日止，并通过丰城市人民政府门户网站中“政府信息公开年报”栏目（网址</w:t>
      </w:r>
      <w:r>
        <w:rPr>
          <w:rFonts w:hint="eastAsia" w:ascii="仿宋_GB2312" w:eastAsia="仿宋_GB2312"/>
          <w:color w:val="000000"/>
          <w:sz w:val="29"/>
          <w:szCs w:val="29"/>
        </w:rPr>
        <w:t>:http://www.jxfc.gov.cn/xxgk-show-123564.html</w:t>
      </w:r>
      <w:r>
        <w:rPr>
          <w:rFonts w:hint="eastAsia" w:ascii="仿宋_GB2312" w:eastAsia="仿宋_GB2312"/>
          <w:color w:val="000000"/>
          <w:sz w:val="29"/>
          <w:szCs w:val="29"/>
          <w:shd w:val="clear" w:color="auto" w:fill="FFFFFF"/>
        </w:rPr>
        <w:t>）等平台向社会主动公开，如对本年报有疑问，请与丰城市自然资源局办公室联系（地址：丰城市龙光中大道208号五楼，电话：</w:t>
      </w:r>
      <w:r>
        <w:rPr>
          <w:rFonts w:hint="eastAsia" w:ascii="仿宋_GB2312" w:eastAsia="仿宋_GB2312"/>
          <w:color w:val="000000"/>
          <w:sz w:val="29"/>
          <w:szCs w:val="29"/>
        </w:rPr>
        <w:t>0795</w:t>
      </w:r>
      <w:r>
        <w:rPr>
          <w:rFonts w:hint="eastAsia" w:ascii="仿宋_GB2312" w:eastAsia="仿宋_GB2312"/>
          <w:color w:val="000000"/>
          <w:sz w:val="29"/>
          <w:szCs w:val="29"/>
          <w:shd w:val="clear" w:color="auto" w:fill="FFFFFF"/>
        </w:rPr>
        <w:t>－</w:t>
      </w:r>
      <w:r>
        <w:rPr>
          <w:rFonts w:hint="eastAsia" w:ascii="仿宋_GB2312" w:eastAsia="仿宋_GB2312"/>
          <w:color w:val="000000"/>
          <w:sz w:val="29"/>
          <w:szCs w:val="29"/>
        </w:rPr>
        <w:t>6606500</w:t>
      </w:r>
      <w:r>
        <w:rPr>
          <w:rFonts w:hint="eastAsia" w:ascii="仿宋_GB2312" w:eastAsia="仿宋_GB2312"/>
          <w:color w:val="000000"/>
          <w:sz w:val="29"/>
          <w:szCs w:val="29"/>
          <w:shd w:val="clear" w:color="auto" w:fill="FFFFFF"/>
        </w:rPr>
        <w:t>）</w:t>
      </w:r>
    </w:p>
    <w:p>
      <w:pPr>
        <w:pStyle w:val="4"/>
        <w:shd w:val="clear" w:color="auto" w:fill="FFFFFF"/>
        <w:spacing w:before="0" w:beforeAutospacing="0" w:after="0" w:afterAutospacing="0" w:line="560" w:lineRule="exact"/>
        <w:ind w:firstLine="560" w:firstLineChars="200"/>
        <w:rPr>
          <w:rFonts w:ascii="黑体" w:hAnsi="黑体" w:eastAsia="黑体" w:cs="黑体"/>
          <w:bCs/>
          <w:color w:val="000000" w:themeColor="text1"/>
          <w:sz w:val="28"/>
          <w:szCs w:val="28"/>
          <w14:textFill>
            <w14:solidFill>
              <w14:schemeClr w14:val="tx1"/>
            </w14:solidFill>
          </w14:textFill>
        </w:rPr>
      </w:pPr>
      <w:r>
        <w:rPr>
          <w:rStyle w:val="8"/>
          <w:rFonts w:hint="eastAsia" w:ascii="黑体" w:hAnsi="黑体" w:eastAsia="黑体" w:cs="黑体"/>
          <w:b w:val="0"/>
          <w:bCs/>
          <w:color w:val="000000" w:themeColor="text1"/>
          <w:sz w:val="28"/>
          <w:szCs w:val="28"/>
          <w:shd w:val="clear" w:color="auto" w:fill="FFFFFF"/>
          <w14:textFill>
            <w14:solidFill>
              <w14:schemeClr w14:val="tx1"/>
            </w14:solidFill>
          </w14:textFill>
        </w:rPr>
        <w:t>一、总体情况</w:t>
      </w:r>
    </w:p>
    <w:p>
      <w:pPr>
        <w:pStyle w:val="4"/>
        <w:shd w:val="clear" w:color="auto" w:fill="FFFFFF"/>
        <w:spacing w:before="0" w:beforeAutospacing="0" w:after="0" w:afterAutospacing="0" w:line="560" w:lineRule="exact"/>
        <w:ind w:firstLine="560" w:firstLineChars="200"/>
        <w:rPr>
          <w:rStyle w:val="8"/>
          <w:rFonts w:ascii="仿宋_GB2312" w:hAnsi="黑体" w:eastAsia="仿宋_GB2312" w:cs="黑体"/>
          <w:b w:val="0"/>
          <w:bCs/>
          <w:sz w:val="28"/>
          <w:szCs w:val="28"/>
          <w:shd w:val="clear" w:color="auto" w:fill="FFFFFF"/>
        </w:rPr>
      </w:pPr>
      <w:r>
        <w:rPr>
          <w:rStyle w:val="8"/>
          <w:rFonts w:hint="eastAsia" w:ascii="仿宋_GB2312" w:hAnsi="黑体" w:eastAsia="仿宋_GB2312" w:cs="黑体"/>
          <w:b w:val="0"/>
          <w:bCs/>
          <w:sz w:val="28"/>
          <w:szCs w:val="28"/>
          <w:shd w:val="clear" w:color="auto" w:fill="FFFFFF"/>
        </w:rPr>
        <w:t>2021年，在市委、市政府的正确领导下，丰城市自然资源局积极贯彻落实政府信息公开工作，不断完善全局政府信息公开的流程与内容，积极增强政府信息公开工作的主动性、实效性，把政府信息公开工作切实融入到自然资源系统各项工作中，确保政府信息公开各项工作落实到位。</w:t>
      </w:r>
    </w:p>
    <w:p>
      <w:pPr>
        <w:widowControl/>
        <w:shd w:val="clear" w:color="auto" w:fill="FFFFFF"/>
        <w:spacing w:line="560" w:lineRule="exact"/>
        <w:ind w:firstLine="555"/>
        <w:rPr>
          <w:rFonts w:ascii="仿宋_GB2312" w:hAnsi="微软雅黑" w:eastAsia="仿宋_GB2312" w:cs="宋体"/>
          <w:kern w:val="0"/>
          <w:sz w:val="28"/>
          <w:szCs w:val="28"/>
        </w:rPr>
      </w:pPr>
      <w:r>
        <w:rPr>
          <w:rFonts w:hint="eastAsia" w:ascii="仿宋_GB2312" w:hAnsi="微软雅黑" w:eastAsia="仿宋_GB2312" w:cs="宋体"/>
          <w:kern w:val="0"/>
          <w:sz w:val="28"/>
          <w:szCs w:val="28"/>
        </w:rPr>
        <w:t>（一）主动公开信息</w:t>
      </w:r>
    </w:p>
    <w:p>
      <w:pPr>
        <w:widowControl/>
        <w:shd w:val="clear" w:color="auto" w:fill="FFFFFF"/>
        <w:spacing w:line="560" w:lineRule="exact"/>
        <w:ind w:firstLine="560" w:firstLineChars="200"/>
        <w:rPr>
          <w:rFonts w:ascii="仿宋_GB2312" w:hAnsi="微软雅黑" w:eastAsia="仿宋_GB2312" w:cs="宋体"/>
          <w:kern w:val="0"/>
          <w:sz w:val="28"/>
          <w:szCs w:val="28"/>
        </w:rPr>
      </w:pPr>
      <w:r>
        <w:rPr>
          <w:rFonts w:hint="eastAsia" w:ascii="仿宋_GB2312" w:hAnsi="微软雅黑" w:eastAsia="仿宋_GB2312" w:cs="宋体"/>
          <w:kern w:val="0"/>
          <w:sz w:val="28"/>
          <w:szCs w:val="28"/>
        </w:rPr>
        <w:t>根据政务公开的信息梳理，自2021年1月1日至2021年12月31日止，我局共公布主要内容有：公开指南、信息公开年度报告、规划计划、政策文件、公示与意见征集、回应关切、机构概况、领导信息、行政权力运行、财政信息、建议提案办理等，接收到依申请公开政府信息7条,未接收到因政府信息公开引起的行政复议，受理0起行政诉讼案件，利用丰城市人民政府网站主动公开政府信息。 </w:t>
      </w:r>
    </w:p>
    <w:p>
      <w:pPr>
        <w:widowControl/>
        <w:shd w:val="clear" w:color="auto" w:fill="FFFFFF"/>
        <w:spacing w:line="560" w:lineRule="exact"/>
        <w:ind w:firstLine="555"/>
        <w:rPr>
          <w:rFonts w:ascii="仿宋_GB2312" w:hAnsi="微软雅黑" w:eastAsia="仿宋_GB2312" w:cs="宋体"/>
          <w:kern w:val="0"/>
          <w:sz w:val="28"/>
          <w:szCs w:val="28"/>
        </w:rPr>
      </w:pPr>
      <w:r>
        <w:rPr>
          <w:rFonts w:hint="eastAsia" w:ascii="仿宋_GB2312" w:hAnsi="微软雅黑" w:eastAsia="仿宋_GB2312" w:cs="宋体"/>
          <w:kern w:val="0"/>
          <w:sz w:val="28"/>
          <w:szCs w:val="28"/>
        </w:rPr>
        <w:t>（二）依申请公开工作</w:t>
      </w:r>
    </w:p>
    <w:p>
      <w:pPr>
        <w:widowControl/>
        <w:shd w:val="clear" w:color="auto" w:fill="FFFFFF"/>
        <w:spacing w:line="560" w:lineRule="exact"/>
        <w:ind w:left="105" w:leftChars="50" w:firstLine="420" w:firstLineChars="150"/>
        <w:rPr>
          <w:rFonts w:ascii="仿宋_GB2312" w:hAnsi="微软雅黑" w:eastAsia="仿宋_GB2312" w:cs="宋体"/>
          <w:kern w:val="0"/>
          <w:sz w:val="28"/>
          <w:szCs w:val="28"/>
        </w:rPr>
      </w:pPr>
      <w:r>
        <w:rPr>
          <w:rFonts w:hint="eastAsia" w:ascii="仿宋_GB2312" w:hAnsi="微软雅黑" w:eastAsia="仿宋_GB2312" w:cs="宋体"/>
          <w:kern w:val="0"/>
          <w:sz w:val="28"/>
          <w:szCs w:val="28"/>
          <w:shd w:val="clear" w:color="auto" w:fill="FFFFFF"/>
        </w:rPr>
        <w:t>2021年，我局共收到网上要求公开政府信息的申请4件，其中3条是予以公开信息，1条是不予公开的行政查询事项信息，均已按时办结，无结转下年度办理情况。</w:t>
      </w:r>
    </w:p>
    <w:p>
      <w:pPr>
        <w:pStyle w:val="4"/>
        <w:shd w:val="clear" w:color="auto" w:fill="FFFFFF"/>
        <w:spacing w:before="0" w:beforeAutospacing="0" w:after="0" w:afterAutospacing="0" w:line="560" w:lineRule="exact"/>
        <w:ind w:firstLine="560" w:firstLineChars="200"/>
        <w:rPr>
          <w:rStyle w:val="8"/>
          <w:rFonts w:hint="eastAsia" w:ascii="仿宋_GB2312" w:hAnsi="黑体" w:eastAsia="仿宋_GB2312" w:cs="黑体"/>
          <w:b w:val="0"/>
          <w:bCs/>
          <w:sz w:val="28"/>
          <w:szCs w:val="28"/>
          <w:shd w:val="clear" w:color="auto" w:fill="FFFFFF"/>
        </w:rPr>
      </w:pPr>
      <w:r>
        <w:rPr>
          <w:rStyle w:val="8"/>
          <w:rFonts w:hint="eastAsia" w:ascii="仿宋_GB2312" w:hAnsi="黑体" w:eastAsia="仿宋_GB2312" w:cs="黑体"/>
          <w:b w:val="0"/>
          <w:bCs/>
          <w:sz w:val="28"/>
          <w:szCs w:val="28"/>
          <w:shd w:val="clear" w:color="auto" w:fill="FFFFFF"/>
        </w:rPr>
        <w:t>（三）政府信息公开管理</w:t>
      </w:r>
    </w:p>
    <w:p>
      <w:pPr>
        <w:pStyle w:val="4"/>
        <w:shd w:val="clear" w:color="auto" w:fill="FFFFFF"/>
        <w:spacing w:before="0" w:beforeAutospacing="0" w:after="0" w:afterAutospacing="0" w:line="560" w:lineRule="exact"/>
        <w:ind w:firstLine="560" w:firstLineChars="200"/>
        <w:rPr>
          <w:rStyle w:val="8"/>
          <w:rFonts w:hint="eastAsia" w:ascii="仿宋_GB2312" w:hAnsi="黑体" w:eastAsia="仿宋_GB2312" w:cs="黑体"/>
          <w:b w:val="0"/>
          <w:bCs/>
          <w:sz w:val="28"/>
          <w:szCs w:val="28"/>
          <w:shd w:val="clear" w:color="auto" w:fill="FFFFFF"/>
        </w:rPr>
      </w:pPr>
      <w:r>
        <w:rPr>
          <w:rStyle w:val="8"/>
          <w:rFonts w:hint="eastAsia" w:ascii="仿宋_GB2312" w:hAnsi="黑体" w:eastAsia="仿宋_GB2312" w:cs="黑体"/>
          <w:b w:val="0"/>
          <w:bCs/>
          <w:sz w:val="28"/>
          <w:szCs w:val="28"/>
          <w:shd w:val="clear" w:color="auto" w:fill="FFFFFF"/>
        </w:rPr>
        <w:t>根据政府信息公开条例的工作要求，各项公开内容，细化责任分解到各股室及个人，由局办公室对接局机关各股室、下属各事业单位提供信息。建立健全政府信息公开审查机制,完善信息发布流程，所有信息全部按照责任股室提供、分管领导审核、办公室发布等流程进行公开，确保公开内容的合法性、准确性、严肃性。</w:t>
      </w:r>
    </w:p>
    <w:p>
      <w:pPr>
        <w:pStyle w:val="4"/>
        <w:shd w:val="clear" w:color="auto" w:fill="FFFFFF"/>
        <w:spacing w:before="0" w:beforeAutospacing="0" w:after="0" w:afterAutospacing="0" w:line="560" w:lineRule="exact"/>
        <w:ind w:firstLine="560" w:firstLineChars="200"/>
        <w:rPr>
          <w:rStyle w:val="8"/>
          <w:rFonts w:hint="eastAsia" w:ascii="仿宋_GB2312" w:hAnsi="黑体" w:eastAsia="仿宋_GB2312" w:cs="黑体"/>
          <w:b w:val="0"/>
          <w:bCs/>
          <w:sz w:val="28"/>
          <w:szCs w:val="28"/>
          <w:shd w:val="clear" w:color="auto" w:fill="FFFFFF"/>
          <w:lang w:val="en-US" w:eastAsia="zh-CN"/>
        </w:rPr>
      </w:pPr>
      <w:r>
        <w:rPr>
          <w:rStyle w:val="8"/>
          <w:rFonts w:hint="eastAsia" w:ascii="仿宋_GB2312" w:hAnsi="黑体" w:eastAsia="仿宋_GB2312" w:cs="黑体"/>
          <w:b w:val="0"/>
          <w:bCs/>
          <w:sz w:val="28"/>
          <w:szCs w:val="28"/>
          <w:shd w:val="clear" w:color="auto" w:fill="FFFFFF"/>
          <w:lang w:val="en-US" w:eastAsia="zh-CN"/>
        </w:rPr>
        <w:t>（四）平台建设</w:t>
      </w:r>
    </w:p>
    <w:p>
      <w:pPr>
        <w:pStyle w:val="4"/>
        <w:shd w:val="clear" w:color="auto" w:fill="FFFFFF"/>
        <w:spacing w:before="0" w:beforeAutospacing="0" w:after="0" w:afterAutospacing="0" w:line="560" w:lineRule="exact"/>
        <w:ind w:firstLine="560" w:firstLineChars="200"/>
        <w:rPr>
          <w:rStyle w:val="8"/>
          <w:rFonts w:hint="eastAsia" w:ascii="仿宋_GB2312" w:hAnsi="黑体" w:eastAsia="仿宋_GB2312" w:cs="黑体"/>
          <w:b w:val="0"/>
          <w:bCs/>
          <w:sz w:val="28"/>
          <w:szCs w:val="28"/>
          <w:shd w:val="clear" w:color="auto" w:fill="FFFFFF"/>
          <w:lang w:val="en-US" w:eastAsia="zh-CN"/>
        </w:rPr>
      </w:pPr>
      <w:r>
        <w:rPr>
          <w:rStyle w:val="8"/>
          <w:rFonts w:hint="eastAsia" w:ascii="仿宋_GB2312" w:hAnsi="黑体" w:eastAsia="仿宋_GB2312" w:cs="黑体"/>
          <w:b w:val="0"/>
          <w:bCs/>
          <w:sz w:val="28"/>
          <w:szCs w:val="28"/>
          <w:shd w:val="clear" w:color="auto" w:fill="FFFFFF"/>
          <w:lang w:val="en-US" w:eastAsia="zh-CN"/>
        </w:rPr>
        <w:t>根据市政府工作部署，全力配合全市政府网站集约化平台建设，在建设过程中主动与上级部门进行对接，协调完成新版网站上有关我局各栏目更新工作，通过资源整合和平台集约，推动我局政府信息公开工作的有序进行。</w:t>
      </w:r>
    </w:p>
    <w:p>
      <w:pPr>
        <w:pStyle w:val="4"/>
        <w:shd w:val="clear" w:color="auto" w:fill="FFFFFF"/>
        <w:spacing w:before="0" w:beforeAutospacing="0" w:after="0" w:afterAutospacing="0" w:line="560" w:lineRule="exact"/>
        <w:ind w:firstLine="560" w:firstLineChars="200"/>
        <w:rPr>
          <w:rStyle w:val="8"/>
          <w:rFonts w:hint="eastAsia" w:ascii="仿宋_GB2312" w:hAnsi="黑体" w:eastAsia="仿宋_GB2312" w:cs="黑体"/>
          <w:b w:val="0"/>
          <w:bCs/>
          <w:sz w:val="28"/>
          <w:szCs w:val="28"/>
          <w:shd w:val="clear" w:color="auto" w:fill="FFFFFF"/>
          <w:lang w:val="en-US" w:eastAsia="zh-CN"/>
        </w:rPr>
      </w:pPr>
      <w:r>
        <w:rPr>
          <w:rStyle w:val="8"/>
          <w:rFonts w:hint="eastAsia" w:ascii="仿宋_GB2312" w:hAnsi="黑体" w:eastAsia="仿宋_GB2312" w:cs="黑体"/>
          <w:b w:val="0"/>
          <w:bCs/>
          <w:sz w:val="28"/>
          <w:szCs w:val="28"/>
          <w:shd w:val="clear" w:color="auto" w:fill="FFFFFF"/>
          <w:lang w:val="en-US" w:eastAsia="zh-CN"/>
        </w:rPr>
        <w:t>（五）监督保障</w:t>
      </w:r>
    </w:p>
    <w:p>
      <w:pPr>
        <w:pStyle w:val="4"/>
        <w:shd w:val="clear" w:color="auto" w:fill="FFFFFF"/>
        <w:spacing w:before="0" w:beforeAutospacing="0" w:after="0" w:afterAutospacing="0" w:line="560" w:lineRule="exact"/>
        <w:ind w:firstLine="560" w:firstLineChars="200"/>
        <w:rPr>
          <w:rFonts w:hint="eastAsia" w:ascii="仿宋_GB2312" w:hAnsi="微软雅黑" w:eastAsia="仿宋_GB2312" w:cs="宋体"/>
          <w:kern w:val="0"/>
          <w:sz w:val="28"/>
          <w:szCs w:val="28"/>
        </w:rPr>
      </w:pPr>
      <w:r>
        <w:rPr>
          <w:rStyle w:val="8"/>
          <w:rFonts w:hint="eastAsia" w:ascii="仿宋_GB2312" w:hAnsi="黑体" w:eastAsia="仿宋_GB2312" w:cs="黑体"/>
          <w:b w:val="0"/>
          <w:bCs/>
          <w:sz w:val="28"/>
          <w:szCs w:val="28"/>
          <w:shd w:val="clear" w:color="auto" w:fill="FFFFFF"/>
          <w:lang w:val="en-US" w:eastAsia="zh-CN"/>
        </w:rPr>
        <w:t>按照上级领导部门关于加强政府信息公开的工作要求，我局党组高度重视，认真贯彻落实《政府信息公开条例》文件精神，落实分管领导、责任股室、工作人员，进一步完善政府信息公开制度，自觉接受广大人民群众的监督，切实保障广大人民群众的知情权、参与权和监督权。</w:t>
      </w:r>
    </w:p>
    <w:p>
      <w:pPr>
        <w:pStyle w:val="4"/>
        <w:shd w:val="clear" w:color="auto" w:fill="FFFFFF"/>
        <w:spacing w:before="312" w:beforeLines="100" w:beforeAutospacing="0" w:after="312" w:afterLines="100" w:afterAutospacing="0" w:line="560" w:lineRule="exact"/>
        <w:ind w:left="420" w:firstLine="140" w:firstLineChars="50"/>
        <w:rPr>
          <w:rStyle w:val="8"/>
          <w:rFonts w:ascii="黑体" w:hAnsi="黑体" w:eastAsia="黑体" w:cs="黑体"/>
          <w:b w:val="0"/>
          <w:bCs/>
          <w:color w:val="000000" w:themeColor="text1"/>
          <w:sz w:val="28"/>
          <w:szCs w:val="28"/>
          <w:shd w:val="clear" w:color="auto" w:fill="FFFFFF"/>
          <w14:textFill>
            <w14:solidFill>
              <w14:schemeClr w14:val="tx1"/>
            </w14:solidFill>
          </w14:textFill>
        </w:rPr>
      </w:pPr>
      <w:r>
        <w:rPr>
          <w:rStyle w:val="8"/>
          <w:rFonts w:hint="eastAsia" w:ascii="黑体" w:hAnsi="黑体" w:eastAsia="黑体" w:cs="黑体"/>
          <w:b w:val="0"/>
          <w:bCs/>
          <w:color w:val="000000" w:themeColor="text1"/>
          <w:sz w:val="28"/>
          <w:szCs w:val="28"/>
          <w:shd w:val="clear" w:color="auto" w:fill="FFFFFF"/>
          <w14:textFill>
            <w14:solidFill>
              <w14:schemeClr w14:val="tx1"/>
            </w14:solidFill>
          </w14:textFill>
        </w:rPr>
        <w:t>二、主动公开政府信息情况</w:t>
      </w:r>
    </w:p>
    <w:tbl>
      <w:tblPr>
        <w:tblStyle w:val="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472" w:type="dxa"/>
            <w:gridSpan w:val="4"/>
          </w:tcPr>
          <w:p>
            <w:pPr>
              <w:pStyle w:val="4"/>
              <w:spacing w:before="0" w:beforeAutospacing="0" w:after="0" w:afterAutospacing="0" w:line="56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spacing w:before="0" w:beforeAutospacing="0" w:after="0" w:afterAutospacing="0" w:line="56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信息内容</w:t>
            </w:r>
          </w:p>
        </w:tc>
        <w:tc>
          <w:tcPr>
            <w:tcW w:w="2259" w:type="dxa"/>
          </w:tcPr>
          <w:p>
            <w:pPr>
              <w:pStyle w:val="4"/>
              <w:spacing w:before="0" w:beforeAutospacing="0" w:after="0" w:afterAutospacing="0" w:line="56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本年制发件数</w:t>
            </w:r>
          </w:p>
        </w:tc>
        <w:tc>
          <w:tcPr>
            <w:tcW w:w="2260" w:type="dxa"/>
          </w:tcPr>
          <w:p>
            <w:pPr>
              <w:pStyle w:val="4"/>
              <w:spacing w:before="0" w:beforeAutospacing="0" w:after="0" w:afterAutospacing="0" w:line="56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本年废止件数</w:t>
            </w:r>
          </w:p>
        </w:tc>
        <w:tc>
          <w:tcPr>
            <w:tcW w:w="1694" w:type="dxa"/>
          </w:tcPr>
          <w:p>
            <w:pPr>
              <w:pStyle w:val="4"/>
              <w:spacing w:before="0" w:beforeAutospacing="0" w:after="0" w:afterAutospacing="0" w:line="56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spacing w:before="0" w:beforeAutospacing="0" w:after="0" w:afterAutospacing="0" w:line="56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规章</w:t>
            </w:r>
          </w:p>
        </w:tc>
        <w:tc>
          <w:tcPr>
            <w:tcW w:w="2259" w:type="dxa"/>
          </w:tcPr>
          <w:p>
            <w:pPr>
              <w:pStyle w:val="4"/>
              <w:spacing w:before="0" w:beforeAutospacing="0" w:after="0" w:afterAutospacing="0" w:line="56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c>
          <w:tcPr>
            <w:tcW w:w="2260" w:type="dxa"/>
          </w:tcPr>
          <w:p>
            <w:pPr>
              <w:pStyle w:val="4"/>
              <w:spacing w:before="0" w:beforeAutospacing="0" w:after="0" w:afterAutospacing="0" w:line="56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c>
          <w:tcPr>
            <w:tcW w:w="1694" w:type="dxa"/>
          </w:tcPr>
          <w:p>
            <w:pPr>
              <w:pStyle w:val="4"/>
              <w:spacing w:before="0" w:beforeAutospacing="0" w:after="0" w:afterAutospacing="0" w:line="56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spacing w:before="0" w:beforeAutospacing="0" w:after="0" w:afterAutospacing="0" w:line="56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规范性文件</w:t>
            </w:r>
          </w:p>
        </w:tc>
        <w:tc>
          <w:tcPr>
            <w:tcW w:w="2259" w:type="dxa"/>
          </w:tcPr>
          <w:p>
            <w:pPr>
              <w:pStyle w:val="4"/>
              <w:spacing w:before="0" w:beforeAutospacing="0" w:after="0" w:afterAutospacing="0" w:line="56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1</w:t>
            </w:r>
          </w:p>
        </w:tc>
        <w:tc>
          <w:tcPr>
            <w:tcW w:w="2260" w:type="dxa"/>
          </w:tcPr>
          <w:p>
            <w:pPr>
              <w:pStyle w:val="4"/>
              <w:spacing w:before="0" w:beforeAutospacing="0" w:after="0" w:afterAutospacing="0" w:line="56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c>
          <w:tcPr>
            <w:tcW w:w="1694" w:type="dxa"/>
          </w:tcPr>
          <w:p>
            <w:pPr>
              <w:pStyle w:val="4"/>
              <w:spacing w:before="0" w:beforeAutospacing="0" w:after="0" w:afterAutospacing="0" w:line="56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472" w:type="dxa"/>
            <w:gridSpan w:val="4"/>
          </w:tcPr>
          <w:p>
            <w:pPr>
              <w:pStyle w:val="4"/>
              <w:spacing w:before="0" w:beforeAutospacing="0" w:after="0" w:afterAutospacing="0" w:line="56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spacing w:before="0" w:beforeAutospacing="0" w:after="0" w:afterAutospacing="0" w:line="56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信息内容</w:t>
            </w:r>
          </w:p>
        </w:tc>
        <w:tc>
          <w:tcPr>
            <w:tcW w:w="6213" w:type="dxa"/>
            <w:gridSpan w:val="3"/>
          </w:tcPr>
          <w:p>
            <w:pPr>
              <w:pStyle w:val="4"/>
              <w:spacing w:before="0" w:beforeAutospacing="0" w:after="0" w:afterAutospacing="0" w:line="56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4"/>
              <w:spacing w:before="0" w:beforeAutospacing="0" w:after="0" w:afterAutospacing="0" w:line="56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行政许可</w:t>
            </w:r>
          </w:p>
        </w:tc>
        <w:tc>
          <w:tcPr>
            <w:tcW w:w="6213" w:type="dxa"/>
            <w:gridSpan w:val="3"/>
          </w:tcPr>
          <w:p>
            <w:pPr>
              <w:pStyle w:val="4"/>
              <w:spacing w:before="0" w:beforeAutospacing="0" w:after="0" w:afterAutospacing="0" w:line="56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472" w:type="dxa"/>
            <w:gridSpan w:val="4"/>
          </w:tcPr>
          <w:p>
            <w:pPr>
              <w:pStyle w:val="4"/>
              <w:spacing w:before="0" w:beforeAutospacing="0" w:after="0" w:afterAutospacing="0" w:line="56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spacing w:before="0" w:beforeAutospacing="0" w:after="0" w:afterAutospacing="0" w:line="56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信息内容</w:t>
            </w:r>
          </w:p>
        </w:tc>
        <w:tc>
          <w:tcPr>
            <w:tcW w:w="6213" w:type="dxa"/>
            <w:gridSpan w:val="3"/>
          </w:tcPr>
          <w:p>
            <w:pPr>
              <w:pStyle w:val="4"/>
              <w:spacing w:before="0" w:beforeAutospacing="0" w:after="0" w:afterAutospacing="0" w:line="56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spacing w:before="0" w:beforeAutospacing="0" w:after="0" w:afterAutospacing="0" w:line="56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行政处罚</w:t>
            </w:r>
          </w:p>
        </w:tc>
        <w:tc>
          <w:tcPr>
            <w:tcW w:w="6213" w:type="dxa"/>
            <w:gridSpan w:val="3"/>
          </w:tcPr>
          <w:p>
            <w:pPr>
              <w:pStyle w:val="4"/>
              <w:spacing w:before="0" w:beforeAutospacing="0" w:after="0" w:afterAutospacing="0" w:line="56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spacing w:before="0" w:beforeAutospacing="0" w:after="0" w:afterAutospacing="0" w:line="56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行政强制</w:t>
            </w:r>
          </w:p>
        </w:tc>
        <w:tc>
          <w:tcPr>
            <w:tcW w:w="6213" w:type="dxa"/>
            <w:gridSpan w:val="3"/>
          </w:tcPr>
          <w:p>
            <w:pPr>
              <w:pStyle w:val="4"/>
              <w:spacing w:before="0" w:beforeAutospacing="0" w:after="0" w:afterAutospacing="0" w:line="56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472" w:type="dxa"/>
            <w:gridSpan w:val="4"/>
          </w:tcPr>
          <w:p>
            <w:pPr>
              <w:pStyle w:val="4"/>
              <w:spacing w:before="0" w:beforeAutospacing="0" w:after="0" w:afterAutospacing="0" w:line="56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spacing w:before="0" w:beforeAutospacing="0" w:after="0" w:afterAutospacing="0" w:line="56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信息内容</w:t>
            </w:r>
          </w:p>
        </w:tc>
        <w:tc>
          <w:tcPr>
            <w:tcW w:w="6213" w:type="dxa"/>
            <w:gridSpan w:val="3"/>
          </w:tcPr>
          <w:p>
            <w:pPr>
              <w:pStyle w:val="4"/>
              <w:spacing w:before="0" w:beforeAutospacing="0" w:after="0" w:afterAutospacing="0" w:line="56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4"/>
              <w:spacing w:before="0" w:beforeAutospacing="0" w:after="0" w:afterAutospacing="0" w:line="560" w:lineRule="exact"/>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行政事业性收费</w:t>
            </w:r>
          </w:p>
        </w:tc>
        <w:tc>
          <w:tcPr>
            <w:tcW w:w="6213" w:type="dxa"/>
            <w:gridSpan w:val="3"/>
          </w:tcPr>
          <w:p>
            <w:pPr>
              <w:pStyle w:val="4"/>
              <w:spacing w:before="0" w:beforeAutospacing="0" w:after="0" w:afterAutospacing="0" w:line="560" w:lineRule="exact"/>
              <w:jc w:val="center"/>
              <w:rPr>
                <w:rStyle w:val="8"/>
                <w:b w:val="0"/>
                <w:bCs/>
                <w:color w:val="000000" w:themeColor="text1"/>
                <w:sz w:val="21"/>
                <w:szCs w:val="21"/>
                <w:shd w:val="clear" w:color="auto" w:fill="FFFFFF"/>
                <w14:textFill>
                  <w14:solidFill>
                    <w14:schemeClr w14:val="tx1"/>
                  </w14:solidFill>
                </w14:textFill>
              </w:rPr>
            </w:pPr>
            <w:r>
              <w:rPr>
                <w:rStyle w:val="8"/>
                <w:rFonts w:hint="eastAsia"/>
                <w:b w:val="0"/>
                <w:bCs/>
                <w:color w:val="000000" w:themeColor="text1"/>
                <w:sz w:val="21"/>
                <w:szCs w:val="21"/>
                <w:shd w:val="clear" w:color="auto" w:fill="FFFFFF"/>
                <w14:textFill>
                  <w14:solidFill>
                    <w14:schemeClr w14:val="tx1"/>
                  </w14:solidFill>
                </w14:textFill>
              </w:rPr>
              <w:t>0</w:t>
            </w:r>
          </w:p>
        </w:tc>
      </w:tr>
    </w:tbl>
    <w:p>
      <w:pPr>
        <w:pStyle w:val="4"/>
        <w:shd w:val="clear" w:color="auto" w:fill="FFFFFF"/>
        <w:spacing w:before="156" w:beforeLines="50" w:beforeAutospacing="0" w:after="156" w:afterLines="50" w:afterAutospacing="0" w:line="560" w:lineRule="exact"/>
        <w:ind w:firstLine="420" w:firstLineChars="150"/>
        <w:rPr>
          <w:rStyle w:val="8"/>
          <w:rFonts w:ascii="黑体" w:hAnsi="黑体" w:eastAsia="黑体" w:cs="黑体"/>
          <w:b w:val="0"/>
          <w:bCs/>
          <w:color w:val="000000" w:themeColor="text1"/>
          <w:sz w:val="28"/>
          <w:szCs w:val="28"/>
          <w:shd w:val="clear" w:color="auto" w:fill="FFFFFF"/>
          <w14:textFill>
            <w14:solidFill>
              <w14:schemeClr w14:val="tx1"/>
            </w14:solidFill>
          </w14:textFill>
        </w:rPr>
      </w:pPr>
      <w:r>
        <w:rPr>
          <w:rStyle w:val="8"/>
          <w:rFonts w:hint="eastAsia" w:ascii="黑体" w:hAnsi="黑体" w:eastAsia="黑体" w:cs="黑体"/>
          <w:b w:val="0"/>
          <w:bCs/>
          <w:color w:val="000000" w:themeColor="text1"/>
          <w:sz w:val="28"/>
          <w:szCs w:val="28"/>
          <w:shd w:val="clear" w:color="auto" w:fill="FFFFFF"/>
          <w14:textFill>
            <w14:solidFill>
              <w14:schemeClr w14:val="tx1"/>
            </w14:solidFill>
          </w14:textFill>
        </w:rPr>
        <w:t>三、收到和处理政府信息公开申请情况</w:t>
      </w:r>
    </w:p>
    <w:tbl>
      <w:tblPr>
        <w:tblStyle w:val="6"/>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4"/>
              <w:spacing w:before="0" w:beforeAutospacing="0" w:after="0" w:afterAutospacing="0" w:line="560" w:lineRule="exact"/>
              <w:jc w:val="both"/>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（本列表的勾稽关系：第一项加第二项之和，等于第三项加第四项之和）</w:t>
            </w:r>
          </w:p>
        </w:tc>
        <w:tc>
          <w:tcPr>
            <w:tcW w:w="4413" w:type="dxa"/>
            <w:gridSpan w:val="7"/>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p>
        </w:tc>
        <w:tc>
          <w:tcPr>
            <w:tcW w:w="534" w:type="dxa"/>
            <w:vMerge w:val="restart"/>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自然人</w:t>
            </w:r>
          </w:p>
        </w:tc>
        <w:tc>
          <w:tcPr>
            <w:tcW w:w="3270" w:type="dxa"/>
            <w:gridSpan w:val="5"/>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法人或其他组织</w:t>
            </w:r>
          </w:p>
        </w:tc>
        <w:tc>
          <w:tcPr>
            <w:tcW w:w="609" w:type="dxa"/>
            <w:vMerge w:val="restart"/>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p>
        </w:tc>
        <w:tc>
          <w:tcPr>
            <w:tcW w:w="534"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654" w:type="dxa"/>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商业企业</w:t>
            </w:r>
          </w:p>
        </w:tc>
        <w:tc>
          <w:tcPr>
            <w:tcW w:w="654" w:type="dxa"/>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科研机构</w:t>
            </w:r>
          </w:p>
        </w:tc>
        <w:tc>
          <w:tcPr>
            <w:tcW w:w="654" w:type="dxa"/>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社会公益组织</w:t>
            </w:r>
          </w:p>
        </w:tc>
        <w:tc>
          <w:tcPr>
            <w:tcW w:w="654" w:type="dxa"/>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法律服务机构</w:t>
            </w:r>
          </w:p>
        </w:tc>
        <w:tc>
          <w:tcPr>
            <w:tcW w:w="654" w:type="dxa"/>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其他</w:t>
            </w:r>
          </w:p>
        </w:tc>
        <w:tc>
          <w:tcPr>
            <w:tcW w:w="609"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一、本年新收政府信息公开申请数量</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7</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二、上年结转政府信息公开申请数量</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三、本年度办理结果</w:t>
            </w:r>
          </w:p>
        </w:tc>
        <w:tc>
          <w:tcPr>
            <w:tcW w:w="3282" w:type="dxa"/>
            <w:gridSpan w:val="2"/>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(一)予以公开</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3</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p>
        </w:tc>
        <w:tc>
          <w:tcPr>
            <w:tcW w:w="3282" w:type="dxa"/>
            <w:gridSpan w:val="2"/>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(二)部分公开（区分处理的，只计这一情形，不计其他情形）</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627" w:type="dxa"/>
            <w:vMerge w:val="restart"/>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(三)不予公开</w:t>
            </w: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1.属于国家秘密</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2.其他法律行政法规禁止公开</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3.危及“三安全一稳定”</w:t>
            </w:r>
          </w:p>
        </w:tc>
        <w:tc>
          <w:tcPr>
            <w:tcW w:w="53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4.保护第三方合法权益</w:t>
            </w:r>
          </w:p>
        </w:tc>
        <w:tc>
          <w:tcPr>
            <w:tcW w:w="53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5.属于三类内部事务信息</w:t>
            </w:r>
          </w:p>
        </w:tc>
        <w:tc>
          <w:tcPr>
            <w:tcW w:w="53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6.属于四类过程性信息</w:t>
            </w:r>
          </w:p>
        </w:tc>
        <w:tc>
          <w:tcPr>
            <w:tcW w:w="53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7.属于行政执法案卷</w:t>
            </w:r>
          </w:p>
        </w:tc>
        <w:tc>
          <w:tcPr>
            <w:tcW w:w="53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8.属于行政查询事项</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4</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627" w:type="dxa"/>
            <w:vMerge w:val="restart"/>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(四)无法提供</w:t>
            </w: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1.本机关不掌握相关政府信息</w:t>
            </w:r>
          </w:p>
        </w:tc>
        <w:tc>
          <w:tcPr>
            <w:tcW w:w="53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2.没有现成信息需要另行制作</w:t>
            </w:r>
          </w:p>
        </w:tc>
        <w:tc>
          <w:tcPr>
            <w:tcW w:w="53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3.补正后申请内容仍不明确</w:t>
            </w:r>
          </w:p>
        </w:tc>
        <w:tc>
          <w:tcPr>
            <w:tcW w:w="53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627" w:type="dxa"/>
            <w:vMerge w:val="restart"/>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(五)不予公开</w:t>
            </w: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1.信访举报投诉类申请</w:t>
            </w:r>
          </w:p>
        </w:tc>
        <w:tc>
          <w:tcPr>
            <w:tcW w:w="53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2.重复申请</w:t>
            </w:r>
          </w:p>
        </w:tc>
        <w:tc>
          <w:tcPr>
            <w:tcW w:w="53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3.要求提供公开出版物</w:t>
            </w:r>
          </w:p>
        </w:tc>
        <w:tc>
          <w:tcPr>
            <w:tcW w:w="53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4.无正当理由大量反复申请</w:t>
            </w:r>
          </w:p>
        </w:tc>
        <w:tc>
          <w:tcPr>
            <w:tcW w:w="53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5.要求行政机关确认或重新出具已获取信息</w:t>
            </w:r>
          </w:p>
        </w:tc>
        <w:tc>
          <w:tcPr>
            <w:tcW w:w="53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627" w:type="dxa"/>
            <w:vMerge w:val="restart"/>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(六)其他处理</w:t>
            </w: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1.申请人无正当理由逾期不补正、行政机关不再处理其政府信息公开申请</w:t>
            </w:r>
          </w:p>
        </w:tc>
        <w:tc>
          <w:tcPr>
            <w:tcW w:w="53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62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2655" w:type="dxa"/>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2.申请人逾期未按收费通知要求缴纳费用、行政机关不再处理其政府信息公开申请</w:t>
            </w:r>
          </w:p>
        </w:tc>
        <w:tc>
          <w:tcPr>
            <w:tcW w:w="53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3282" w:type="dxa"/>
            <w:gridSpan w:val="2"/>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(七)总计</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7</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4"/>
              <w:spacing w:before="0" w:beforeAutospacing="0" w:after="0" w:afterAutospacing="0" w:line="560" w:lineRule="exact"/>
              <w:jc w:val="both"/>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四、结转下年度继续办理</w:t>
            </w:r>
          </w:p>
        </w:tc>
        <w:tc>
          <w:tcPr>
            <w:tcW w:w="53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54"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60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bl>
    <w:p>
      <w:pPr>
        <w:pStyle w:val="4"/>
        <w:shd w:val="clear" w:color="auto" w:fill="FFFFFF"/>
        <w:spacing w:before="156" w:beforeLines="50" w:beforeAutospacing="0" w:after="156" w:afterLines="50" w:afterAutospacing="0" w:line="560" w:lineRule="exact"/>
        <w:ind w:firstLine="560" w:firstLineChars="200"/>
        <w:rPr>
          <w:rStyle w:val="8"/>
          <w:rFonts w:ascii="黑体" w:hAnsi="黑体" w:eastAsia="黑体" w:cs="黑体"/>
          <w:b w:val="0"/>
          <w:bCs/>
          <w:color w:val="000000" w:themeColor="text1"/>
          <w:sz w:val="28"/>
          <w:szCs w:val="28"/>
          <w:shd w:val="clear" w:color="auto" w:fill="FFFFFF"/>
          <w14:textFill>
            <w14:solidFill>
              <w14:schemeClr w14:val="tx1"/>
            </w14:solidFill>
          </w14:textFill>
        </w:rPr>
      </w:pPr>
      <w:r>
        <w:rPr>
          <w:rStyle w:val="8"/>
          <w:rFonts w:hint="eastAsia" w:ascii="黑体" w:hAnsi="黑体" w:eastAsia="黑体" w:cs="黑体"/>
          <w:b w:val="0"/>
          <w:bCs/>
          <w:color w:val="000000" w:themeColor="text1"/>
          <w:sz w:val="28"/>
          <w:szCs w:val="28"/>
          <w:shd w:val="clear" w:color="auto" w:fill="FFFFFF"/>
          <w14:textFill>
            <w14:solidFill>
              <w14:schemeClr w14:val="tx1"/>
            </w14:solidFill>
          </w14:textFill>
        </w:rPr>
        <w:t>四、政府信息公开行政复议、行政诉讼情况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行政复议</w:t>
            </w:r>
          </w:p>
        </w:tc>
        <w:tc>
          <w:tcPr>
            <w:tcW w:w="5682" w:type="dxa"/>
            <w:gridSpan w:val="10"/>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结果</w:t>
            </w:r>
          </w:p>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维持</w:t>
            </w:r>
          </w:p>
        </w:tc>
        <w:tc>
          <w:tcPr>
            <w:tcW w:w="568" w:type="dxa"/>
            <w:vMerge w:val="restart"/>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结果</w:t>
            </w:r>
          </w:p>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纠正</w:t>
            </w:r>
          </w:p>
        </w:tc>
        <w:tc>
          <w:tcPr>
            <w:tcW w:w="568" w:type="dxa"/>
            <w:vMerge w:val="restart"/>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其他</w:t>
            </w:r>
          </w:p>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结果</w:t>
            </w:r>
          </w:p>
        </w:tc>
        <w:tc>
          <w:tcPr>
            <w:tcW w:w="568" w:type="dxa"/>
            <w:vMerge w:val="restart"/>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尚未</w:t>
            </w:r>
          </w:p>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审结</w:t>
            </w:r>
          </w:p>
        </w:tc>
        <w:tc>
          <w:tcPr>
            <w:tcW w:w="568" w:type="dxa"/>
            <w:vMerge w:val="restart"/>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总计</w:t>
            </w:r>
          </w:p>
        </w:tc>
        <w:tc>
          <w:tcPr>
            <w:tcW w:w="2840" w:type="dxa"/>
            <w:gridSpan w:val="5"/>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未经复议直接起诉</w:t>
            </w:r>
          </w:p>
        </w:tc>
        <w:tc>
          <w:tcPr>
            <w:tcW w:w="2842" w:type="dxa"/>
            <w:gridSpan w:val="5"/>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568"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568"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568"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568" w:type="dxa"/>
            <w:vMerge w:val="continue"/>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p>
        </w:tc>
        <w:tc>
          <w:tcPr>
            <w:tcW w:w="568" w:type="dxa"/>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结果</w:t>
            </w:r>
          </w:p>
          <w:p>
            <w:pPr>
              <w:pStyle w:val="4"/>
              <w:spacing w:before="0" w:beforeAutospacing="0" w:after="0" w:afterAutospacing="0" w:line="560" w:lineRule="exact"/>
              <w:jc w:val="center"/>
              <w:rPr>
                <w:rStyle w:val="8"/>
                <w:sz w:val="18"/>
                <w:szCs w:val="18"/>
              </w:rPr>
            </w:pPr>
            <w:r>
              <w:rPr>
                <w:rStyle w:val="8"/>
                <w:rFonts w:hint="eastAsia"/>
                <w:b w:val="0"/>
                <w:bCs/>
                <w:color w:val="000000" w:themeColor="text1"/>
                <w:sz w:val="18"/>
                <w:szCs w:val="18"/>
                <w:shd w:val="clear" w:color="auto" w:fill="FFFFFF"/>
                <w14:textFill>
                  <w14:solidFill>
                    <w14:schemeClr w14:val="tx1"/>
                  </w14:solidFill>
                </w14:textFill>
              </w:rPr>
              <w:t>维持</w:t>
            </w:r>
          </w:p>
        </w:tc>
        <w:tc>
          <w:tcPr>
            <w:tcW w:w="568" w:type="dxa"/>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结果</w:t>
            </w:r>
          </w:p>
          <w:p>
            <w:pPr>
              <w:pStyle w:val="4"/>
              <w:spacing w:before="0" w:beforeAutospacing="0" w:after="0" w:afterAutospacing="0" w:line="560" w:lineRule="exact"/>
              <w:jc w:val="center"/>
              <w:rPr>
                <w:rStyle w:val="8"/>
                <w:sz w:val="18"/>
                <w:szCs w:val="18"/>
              </w:rPr>
            </w:pPr>
            <w:r>
              <w:rPr>
                <w:rStyle w:val="8"/>
                <w:rFonts w:hint="eastAsia"/>
                <w:b w:val="0"/>
                <w:bCs/>
                <w:color w:val="000000" w:themeColor="text1"/>
                <w:sz w:val="18"/>
                <w:szCs w:val="18"/>
                <w:shd w:val="clear" w:color="auto" w:fill="FFFFFF"/>
                <w14:textFill>
                  <w14:solidFill>
                    <w14:schemeClr w14:val="tx1"/>
                  </w14:solidFill>
                </w14:textFill>
              </w:rPr>
              <w:t>纠正</w:t>
            </w:r>
          </w:p>
        </w:tc>
        <w:tc>
          <w:tcPr>
            <w:tcW w:w="568" w:type="dxa"/>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其他</w:t>
            </w:r>
          </w:p>
          <w:p>
            <w:pPr>
              <w:pStyle w:val="4"/>
              <w:spacing w:before="0" w:beforeAutospacing="0" w:after="0" w:afterAutospacing="0" w:line="560" w:lineRule="exact"/>
              <w:jc w:val="center"/>
              <w:rPr>
                <w:rStyle w:val="8"/>
                <w:sz w:val="18"/>
                <w:szCs w:val="18"/>
              </w:rPr>
            </w:pPr>
            <w:r>
              <w:rPr>
                <w:rStyle w:val="8"/>
                <w:rFonts w:hint="eastAsia"/>
                <w:b w:val="0"/>
                <w:bCs/>
                <w:color w:val="000000" w:themeColor="text1"/>
                <w:sz w:val="18"/>
                <w:szCs w:val="18"/>
                <w:shd w:val="clear" w:color="auto" w:fill="FFFFFF"/>
                <w14:textFill>
                  <w14:solidFill>
                    <w14:schemeClr w14:val="tx1"/>
                  </w14:solidFill>
                </w14:textFill>
              </w:rPr>
              <w:t>结果</w:t>
            </w:r>
          </w:p>
        </w:tc>
        <w:tc>
          <w:tcPr>
            <w:tcW w:w="568" w:type="dxa"/>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尚未</w:t>
            </w:r>
          </w:p>
          <w:p>
            <w:pPr>
              <w:pStyle w:val="4"/>
              <w:spacing w:before="0" w:beforeAutospacing="0" w:after="0" w:afterAutospacing="0" w:line="560" w:lineRule="exact"/>
              <w:jc w:val="center"/>
              <w:rPr>
                <w:rStyle w:val="8"/>
                <w:sz w:val="18"/>
                <w:szCs w:val="18"/>
              </w:rPr>
            </w:pPr>
            <w:r>
              <w:rPr>
                <w:rStyle w:val="8"/>
                <w:rFonts w:hint="eastAsia"/>
                <w:b w:val="0"/>
                <w:bCs/>
                <w:color w:val="000000" w:themeColor="text1"/>
                <w:sz w:val="18"/>
                <w:szCs w:val="18"/>
                <w:shd w:val="clear" w:color="auto" w:fill="FFFFFF"/>
                <w14:textFill>
                  <w14:solidFill>
                    <w14:schemeClr w14:val="tx1"/>
                  </w14:solidFill>
                </w14:textFill>
              </w:rPr>
              <w:t>审结</w:t>
            </w:r>
          </w:p>
        </w:tc>
        <w:tc>
          <w:tcPr>
            <w:tcW w:w="568" w:type="dxa"/>
            <w:vAlign w:val="center"/>
          </w:tcPr>
          <w:p>
            <w:pPr>
              <w:pStyle w:val="4"/>
              <w:spacing w:before="0" w:beforeAutospacing="0" w:after="0" w:afterAutospacing="0" w:line="560" w:lineRule="exact"/>
              <w:jc w:val="center"/>
              <w:rPr>
                <w:rStyle w:val="8"/>
                <w:sz w:val="18"/>
                <w:szCs w:val="18"/>
              </w:rPr>
            </w:pPr>
            <w:r>
              <w:rPr>
                <w:rStyle w:val="8"/>
                <w:rFonts w:hint="eastAsia"/>
                <w:b w:val="0"/>
                <w:bCs/>
                <w:color w:val="000000" w:themeColor="text1"/>
                <w:sz w:val="18"/>
                <w:szCs w:val="18"/>
                <w:shd w:val="clear" w:color="auto" w:fill="FFFFFF"/>
                <w14:textFill>
                  <w14:solidFill>
                    <w14:schemeClr w14:val="tx1"/>
                  </w14:solidFill>
                </w14:textFill>
              </w:rPr>
              <w:t>总计</w:t>
            </w:r>
          </w:p>
        </w:tc>
        <w:tc>
          <w:tcPr>
            <w:tcW w:w="568" w:type="dxa"/>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结果</w:t>
            </w:r>
          </w:p>
          <w:p>
            <w:pPr>
              <w:pStyle w:val="4"/>
              <w:spacing w:before="0" w:beforeAutospacing="0" w:after="0" w:afterAutospacing="0" w:line="560" w:lineRule="exact"/>
              <w:jc w:val="center"/>
              <w:rPr>
                <w:rStyle w:val="8"/>
                <w:sz w:val="18"/>
                <w:szCs w:val="18"/>
              </w:rPr>
            </w:pPr>
            <w:r>
              <w:rPr>
                <w:rStyle w:val="8"/>
                <w:rFonts w:hint="eastAsia"/>
                <w:b w:val="0"/>
                <w:bCs/>
                <w:color w:val="000000" w:themeColor="text1"/>
                <w:sz w:val="18"/>
                <w:szCs w:val="18"/>
                <w:shd w:val="clear" w:color="auto" w:fill="FFFFFF"/>
                <w14:textFill>
                  <w14:solidFill>
                    <w14:schemeClr w14:val="tx1"/>
                  </w14:solidFill>
                </w14:textFill>
              </w:rPr>
              <w:t>维持</w:t>
            </w:r>
          </w:p>
        </w:tc>
        <w:tc>
          <w:tcPr>
            <w:tcW w:w="568" w:type="dxa"/>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结果</w:t>
            </w:r>
          </w:p>
          <w:p>
            <w:pPr>
              <w:pStyle w:val="4"/>
              <w:spacing w:before="0" w:beforeAutospacing="0" w:after="0" w:afterAutospacing="0" w:line="560" w:lineRule="exact"/>
              <w:jc w:val="center"/>
              <w:rPr>
                <w:rStyle w:val="8"/>
                <w:sz w:val="18"/>
                <w:szCs w:val="18"/>
              </w:rPr>
            </w:pPr>
            <w:r>
              <w:rPr>
                <w:rStyle w:val="8"/>
                <w:rFonts w:hint="eastAsia"/>
                <w:b w:val="0"/>
                <w:bCs/>
                <w:color w:val="000000" w:themeColor="text1"/>
                <w:sz w:val="18"/>
                <w:szCs w:val="18"/>
                <w:shd w:val="clear" w:color="auto" w:fill="FFFFFF"/>
                <w14:textFill>
                  <w14:solidFill>
                    <w14:schemeClr w14:val="tx1"/>
                  </w14:solidFill>
                </w14:textFill>
              </w:rPr>
              <w:t>纠正</w:t>
            </w:r>
          </w:p>
        </w:tc>
        <w:tc>
          <w:tcPr>
            <w:tcW w:w="568" w:type="dxa"/>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其他</w:t>
            </w:r>
          </w:p>
          <w:p>
            <w:pPr>
              <w:pStyle w:val="4"/>
              <w:spacing w:before="0" w:beforeAutospacing="0" w:after="0" w:afterAutospacing="0" w:line="560" w:lineRule="exact"/>
              <w:jc w:val="center"/>
              <w:rPr>
                <w:rStyle w:val="8"/>
                <w:sz w:val="18"/>
                <w:szCs w:val="18"/>
              </w:rPr>
            </w:pPr>
            <w:r>
              <w:rPr>
                <w:rStyle w:val="8"/>
                <w:rFonts w:hint="eastAsia"/>
                <w:b w:val="0"/>
                <w:bCs/>
                <w:color w:val="000000" w:themeColor="text1"/>
                <w:sz w:val="18"/>
                <w:szCs w:val="18"/>
                <w:shd w:val="clear" w:color="auto" w:fill="FFFFFF"/>
                <w14:textFill>
                  <w14:solidFill>
                    <w14:schemeClr w14:val="tx1"/>
                  </w14:solidFill>
                </w14:textFill>
              </w:rPr>
              <w:t>结果</w:t>
            </w:r>
          </w:p>
        </w:tc>
        <w:tc>
          <w:tcPr>
            <w:tcW w:w="569" w:type="dxa"/>
            <w:vAlign w:val="center"/>
          </w:tcPr>
          <w:p>
            <w:pPr>
              <w:pStyle w:val="4"/>
              <w:spacing w:before="0" w:beforeAutospacing="0" w:after="0" w:afterAutospacing="0" w:line="560" w:lineRule="exact"/>
              <w:jc w:val="center"/>
              <w:rPr>
                <w:rStyle w:val="8"/>
                <w:b w:val="0"/>
                <w:bCs/>
                <w:color w:val="000000" w:themeColor="text1"/>
                <w:sz w:val="18"/>
                <w:szCs w:val="18"/>
                <w:shd w:val="clear" w:color="auto" w:fill="FFFFFF"/>
                <w14:textFill>
                  <w14:solidFill>
                    <w14:schemeClr w14:val="tx1"/>
                  </w14:solidFill>
                </w14:textFill>
              </w:rPr>
            </w:pPr>
            <w:r>
              <w:rPr>
                <w:rStyle w:val="8"/>
                <w:rFonts w:hint="eastAsia"/>
                <w:b w:val="0"/>
                <w:bCs/>
                <w:color w:val="000000" w:themeColor="text1"/>
                <w:sz w:val="18"/>
                <w:szCs w:val="18"/>
                <w:shd w:val="clear" w:color="auto" w:fill="FFFFFF"/>
                <w14:textFill>
                  <w14:solidFill>
                    <w14:schemeClr w14:val="tx1"/>
                  </w14:solidFill>
                </w14:textFill>
              </w:rPr>
              <w:t>尚未</w:t>
            </w:r>
          </w:p>
          <w:p>
            <w:pPr>
              <w:pStyle w:val="4"/>
              <w:spacing w:before="0" w:beforeAutospacing="0" w:after="0" w:afterAutospacing="0" w:line="560" w:lineRule="exact"/>
              <w:jc w:val="center"/>
              <w:rPr>
                <w:rStyle w:val="8"/>
                <w:sz w:val="18"/>
                <w:szCs w:val="18"/>
              </w:rPr>
            </w:pPr>
            <w:r>
              <w:rPr>
                <w:rStyle w:val="8"/>
                <w:rFonts w:hint="eastAsia"/>
                <w:b w:val="0"/>
                <w:bCs/>
                <w:color w:val="000000" w:themeColor="text1"/>
                <w:sz w:val="18"/>
                <w:szCs w:val="18"/>
                <w:shd w:val="clear" w:color="auto" w:fill="FFFFFF"/>
                <w14:textFill>
                  <w14:solidFill>
                    <w14:schemeClr w14:val="tx1"/>
                  </w14:solidFill>
                </w14:textFill>
              </w:rPr>
              <w:t>审结</w:t>
            </w:r>
          </w:p>
        </w:tc>
        <w:tc>
          <w:tcPr>
            <w:tcW w:w="569" w:type="dxa"/>
            <w:vAlign w:val="center"/>
          </w:tcPr>
          <w:p>
            <w:pPr>
              <w:pStyle w:val="4"/>
              <w:spacing w:before="0" w:beforeAutospacing="0" w:after="0" w:afterAutospacing="0" w:line="560" w:lineRule="exact"/>
              <w:jc w:val="center"/>
              <w:rPr>
                <w:rStyle w:val="8"/>
                <w:sz w:val="18"/>
                <w:szCs w:val="18"/>
              </w:rPr>
            </w:pPr>
            <w:r>
              <w:rPr>
                <w:rStyle w:val="8"/>
                <w:rFonts w:hint="eastAsia"/>
                <w:b w:val="0"/>
                <w:bCs/>
                <w:color w:val="000000" w:themeColor="text1"/>
                <w:sz w:val="18"/>
                <w:szCs w:val="18"/>
                <w:shd w:val="clear" w:color="auto" w:fill="FFFFFF"/>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68"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8"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c>
          <w:tcPr>
            <w:tcW w:w="569" w:type="dxa"/>
            <w:vAlign w:val="center"/>
          </w:tcPr>
          <w:p>
            <w:pPr>
              <w:pStyle w:val="4"/>
              <w:spacing w:before="0" w:beforeAutospacing="0" w:after="0" w:afterAutospacing="0" w:line="560" w:lineRule="exact"/>
              <w:jc w:val="center"/>
              <w:rPr>
                <w:rStyle w:val="8"/>
                <w:rFonts w:ascii="仿宋" w:hAnsi="仿宋" w:eastAsia="仿宋" w:cs="仿宋"/>
                <w:b w:val="0"/>
                <w:bCs/>
                <w:color w:val="000000" w:themeColor="text1"/>
                <w:sz w:val="18"/>
                <w:szCs w:val="18"/>
                <w:shd w:val="clear" w:color="auto" w:fill="FFFFFF"/>
                <w14:textFill>
                  <w14:solidFill>
                    <w14:schemeClr w14:val="tx1"/>
                  </w14:solidFill>
                </w14:textFill>
              </w:rPr>
            </w:pPr>
            <w:r>
              <w:rPr>
                <w:rStyle w:val="8"/>
                <w:rFonts w:hint="eastAsia" w:ascii="仿宋" w:hAnsi="仿宋" w:eastAsia="仿宋" w:cs="仿宋"/>
                <w:b w:val="0"/>
                <w:bCs/>
                <w:color w:val="000000" w:themeColor="text1"/>
                <w:sz w:val="18"/>
                <w:szCs w:val="18"/>
                <w:shd w:val="clear" w:color="auto" w:fill="FFFFFF"/>
                <w14:textFill>
                  <w14:solidFill>
                    <w14:schemeClr w14:val="tx1"/>
                  </w14:solidFill>
                </w14:textFill>
              </w:rPr>
              <w:t>0</w:t>
            </w:r>
          </w:p>
        </w:tc>
      </w:tr>
    </w:tbl>
    <w:p>
      <w:pPr>
        <w:pStyle w:val="4"/>
        <w:shd w:val="clear" w:color="auto" w:fill="FFFFFF"/>
        <w:spacing w:before="0" w:beforeAutospacing="0" w:after="0" w:afterAutospacing="0" w:line="560" w:lineRule="exact"/>
        <w:ind w:firstLine="560" w:firstLineChars="200"/>
        <w:rPr>
          <w:rFonts w:ascii="微软雅黑" w:hAnsi="微软雅黑" w:eastAsia="微软雅黑" w:cs="微软雅黑"/>
          <w:b/>
          <w:color w:val="000000" w:themeColor="text1"/>
          <w:sz w:val="22"/>
          <w:szCs w:val="22"/>
          <w:shd w:val="clear" w:color="auto" w:fill="FFFFFF"/>
          <w14:textFill>
            <w14:solidFill>
              <w14:schemeClr w14:val="tx1"/>
            </w14:solidFill>
          </w14:textFill>
        </w:rPr>
      </w:pPr>
      <w:r>
        <w:rPr>
          <w:rStyle w:val="8"/>
          <w:rFonts w:hint="eastAsia" w:ascii="黑体" w:hAnsi="黑体" w:eastAsia="黑体" w:cs="黑体"/>
          <w:b w:val="0"/>
          <w:bCs/>
          <w:color w:val="000000" w:themeColor="text1"/>
          <w:sz w:val="28"/>
          <w:szCs w:val="28"/>
          <w:shd w:val="clear" w:color="auto" w:fill="FFFFFF"/>
          <w14:textFill>
            <w14:solidFill>
              <w14:schemeClr w14:val="tx1"/>
            </w14:solidFill>
          </w14:textFill>
        </w:rPr>
        <w:t>五、存在的主要问题及改进情况</w:t>
      </w:r>
    </w:p>
    <w:p>
      <w:pPr>
        <w:pStyle w:val="4"/>
        <w:shd w:val="clear" w:color="auto" w:fill="FFFFFF"/>
        <w:spacing w:before="0" w:beforeAutospacing="0" w:after="0" w:afterAutospacing="0" w:line="560" w:lineRule="exact"/>
        <w:ind w:firstLine="555"/>
        <w:rPr>
          <w:rFonts w:ascii="仿宋_GB2312" w:eastAsia="仿宋_GB2312"/>
          <w:sz w:val="28"/>
          <w:szCs w:val="28"/>
          <w:shd w:val="clear" w:color="auto" w:fill="FFFFFF"/>
        </w:rPr>
      </w:pPr>
      <w:r>
        <w:rPr>
          <w:rFonts w:hint="eastAsia" w:ascii="仿宋_GB2312" w:eastAsia="仿宋_GB2312"/>
          <w:sz w:val="28"/>
          <w:szCs w:val="28"/>
          <w:shd w:val="clear" w:color="auto" w:fill="FFFFFF"/>
        </w:rPr>
        <w:t>目前，在信息公开工作方面，已按要求按时完成相关工作，但与上级文件要求相比，仍然存在一些问题，主要是：一是对于信息公开工作的思想认识需进一步提升；二是对于信息公开工作的业务水平需进一步加强；三是对信息公开相关文件政策的理解需进一步透彻。</w:t>
      </w:r>
    </w:p>
    <w:p>
      <w:pPr>
        <w:pStyle w:val="4"/>
        <w:shd w:val="clear" w:color="auto" w:fill="FFFFFF"/>
        <w:spacing w:before="0" w:beforeAutospacing="0" w:after="0" w:afterAutospacing="0" w:line="560" w:lineRule="exact"/>
        <w:ind w:firstLine="555"/>
        <w:rPr>
          <w:rFonts w:ascii="仿宋_GB2312" w:hAnsi="微软雅黑" w:eastAsia="仿宋_GB2312" w:cs="微软雅黑"/>
          <w:bCs/>
          <w:color w:val="000000" w:themeColor="text1"/>
          <w:sz w:val="28"/>
          <w:szCs w:val="28"/>
          <w14:textFill>
            <w14:solidFill>
              <w14:schemeClr w14:val="tx1"/>
            </w14:solidFill>
          </w14:textFill>
        </w:rPr>
      </w:pPr>
      <w:r>
        <w:rPr>
          <w:rFonts w:hint="eastAsia" w:ascii="仿宋_GB2312" w:eastAsia="仿宋_GB2312"/>
          <w:sz w:val="28"/>
          <w:szCs w:val="28"/>
          <w:shd w:val="clear" w:color="auto" w:fill="FFFFFF"/>
        </w:rPr>
        <w:t>下一步，我局将采取以下措施来提升信息公开工作：一是重视信息公开工作人员的落实，明确工作职责，切实推进政务公开工作；二是加强信息公开工作人员与局机关各业务股室、各下属事业单位的有效沟通，将信息收集与公开同步进行，确保信息的及时与准确；三是严格按照市委、市政府的要求落实各项信息公开工作，切实提高效率，确保政务信息公开工作顺利开展。</w:t>
      </w:r>
    </w:p>
    <w:p>
      <w:pPr>
        <w:pStyle w:val="4"/>
        <w:shd w:val="clear" w:color="auto" w:fill="FFFFFF"/>
        <w:spacing w:before="0" w:beforeAutospacing="0" w:after="0" w:afterAutospacing="0" w:line="560" w:lineRule="exact"/>
        <w:ind w:firstLine="555"/>
        <w:rPr>
          <w:rStyle w:val="8"/>
          <w:rFonts w:ascii="仿宋_GB2312" w:hAnsi="微软雅黑" w:eastAsia="仿宋_GB2312" w:cs="微软雅黑"/>
          <w:b w:val="0"/>
          <w:bCs/>
          <w:color w:val="000000" w:themeColor="text1"/>
          <w:sz w:val="28"/>
          <w:szCs w:val="28"/>
          <w14:textFill>
            <w14:solidFill>
              <w14:schemeClr w14:val="tx1"/>
            </w14:solidFill>
          </w14:textFill>
        </w:rPr>
      </w:pPr>
      <w:r>
        <w:rPr>
          <w:rStyle w:val="8"/>
          <w:rFonts w:hint="eastAsia" w:ascii="黑体" w:hAnsi="黑体" w:eastAsia="黑体" w:cs="黑体"/>
          <w:b w:val="0"/>
          <w:bCs/>
          <w:color w:val="000000" w:themeColor="text1"/>
          <w:sz w:val="28"/>
          <w:szCs w:val="28"/>
          <w:shd w:val="clear" w:color="auto" w:fill="FFFFFF"/>
          <w14:textFill>
            <w14:solidFill>
              <w14:schemeClr w14:val="tx1"/>
            </w14:solidFill>
          </w14:textFill>
        </w:rPr>
        <w:t>六、其他需要报告的事项</w:t>
      </w:r>
    </w:p>
    <w:p>
      <w:pPr>
        <w:pStyle w:val="4"/>
        <w:shd w:val="clear" w:color="auto" w:fill="FFFFFF"/>
        <w:spacing w:before="0" w:beforeAutospacing="0" w:after="0" w:afterAutospacing="0" w:line="560" w:lineRule="exact"/>
        <w:ind w:firstLine="570" w:firstLineChars="200"/>
        <w:rPr>
          <w:rFonts w:ascii="仿宋_GB2312" w:eastAsia="仿宋_GB2312" w:cs="微软雅黑"/>
          <w:bCs/>
          <w:color w:val="000000" w:themeColor="text1"/>
          <w:sz w:val="28"/>
          <w:szCs w:val="28"/>
          <w:shd w:val="clear" w:color="auto" w:fill="FFFFFF"/>
          <w14:textFill>
            <w14:solidFill>
              <w14:schemeClr w14:val="tx1"/>
            </w14:solidFill>
          </w14:textFill>
        </w:rPr>
      </w:pPr>
      <w:r>
        <w:rPr>
          <w:rFonts w:ascii="仿宋_GB2312" w:hAnsi="仿宋_GB2312" w:eastAsia="仿宋_GB2312" w:cs="仿宋_GB2312"/>
          <w:i w:val="0"/>
          <w:iCs w:val="0"/>
          <w:caps w:val="0"/>
          <w:color w:val="000000"/>
          <w:spacing w:val="0"/>
          <w:sz w:val="28"/>
          <w:szCs w:val="28"/>
          <w:shd w:val="clear" w:fill="FFFFFF"/>
        </w:rPr>
        <w:t>我局严格按照国务院办公厅《政府信息公开信息处理费管理办法》（国办函[</w:t>
      </w:r>
      <w:r>
        <w:rPr>
          <w:rFonts w:hint="eastAsia" w:ascii="仿宋_GB2312" w:hAnsi="仿宋_GB2312" w:eastAsia="仿宋_GB2312" w:cs="仿宋_GB2312"/>
          <w:i w:val="0"/>
          <w:iCs w:val="0"/>
          <w:caps w:val="0"/>
          <w:color w:val="000000"/>
          <w:spacing w:val="0"/>
          <w:sz w:val="28"/>
          <w:szCs w:val="28"/>
          <w:shd w:val="clear" w:fill="FFFFFF"/>
        </w:rPr>
        <w:t>2020]109号）执行，信息处理费按照超额累进方式计算收费金额，采取按件计收或按量计收方式，2021年我局信息处理费收费情况为零。</w:t>
      </w:r>
    </w:p>
    <w:p>
      <w:pPr>
        <w:pStyle w:val="4"/>
        <w:shd w:val="clear" w:color="auto" w:fill="FFFFFF"/>
        <w:spacing w:before="0" w:beforeAutospacing="0" w:after="0" w:afterAutospacing="0" w:line="560" w:lineRule="exact"/>
        <w:ind w:firstLine="570"/>
        <w:jc w:val="right"/>
        <w:rPr>
          <w:rFonts w:ascii="仿宋_GB2312" w:eastAsia="仿宋_GB2312" w:cs="微软雅黑"/>
          <w:bCs/>
          <w:color w:val="000000" w:themeColor="text1"/>
          <w:sz w:val="28"/>
          <w:szCs w:val="28"/>
          <w:shd w:val="clear" w:color="auto" w:fill="FFFFFF"/>
          <w14:textFill>
            <w14:solidFill>
              <w14:schemeClr w14:val="tx1"/>
            </w14:solidFill>
          </w14:textFill>
        </w:rPr>
      </w:pPr>
      <w:r>
        <w:rPr>
          <w:rFonts w:hint="eastAsia" w:ascii="仿宋_GB2312" w:eastAsia="仿宋_GB2312" w:cs="微软雅黑"/>
          <w:bCs/>
          <w:color w:val="000000" w:themeColor="text1"/>
          <w:sz w:val="28"/>
          <w:szCs w:val="28"/>
          <w:shd w:val="clear" w:color="auto" w:fill="FFFFFF"/>
          <w14:textFill>
            <w14:solidFill>
              <w14:schemeClr w14:val="tx1"/>
            </w14:solidFill>
          </w14:textFill>
        </w:rPr>
        <w:t>丰城市自然资源局</w:t>
      </w:r>
    </w:p>
    <w:p>
      <w:pPr>
        <w:pStyle w:val="4"/>
        <w:shd w:val="clear" w:color="auto" w:fill="FFFFFF"/>
        <w:spacing w:before="0" w:beforeAutospacing="0" w:after="0" w:afterAutospacing="0" w:line="560" w:lineRule="exact"/>
        <w:ind w:firstLine="570"/>
        <w:jc w:val="right"/>
        <w:rPr>
          <w:rFonts w:ascii="仿宋_GB2312" w:eastAsia="仿宋_GB2312"/>
          <w:bCs/>
          <w:color w:val="000000" w:themeColor="text1"/>
          <w:sz w:val="28"/>
          <w:szCs w:val="28"/>
          <w14:textFill>
            <w14:solidFill>
              <w14:schemeClr w14:val="tx1"/>
            </w14:solidFill>
          </w14:textFill>
        </w:rPr>
      </w:pPr>
      <w:r>
        <w:rPr>
          <w:rFonts w:hint="eastAsia" w:ascii="仿宋_GB2312" w:eastAsia="仿宋_GB2312" w:cs="微软雅黑"/>
          <w:bCs/>
          <w:color w:val="000000" w:themeColor="text1"/>
          <w:sz w:val="28"/>
          <w:szCs w:val="28"/>
          <w:shd w:val="clear" w:color="auto" w:fill="FFFFFF"/>
          <w14:textFill>
            <w14:solidFill>
              <w14:schemeClr w14:val="tx1"/>
            </w14:solidFill>
          </w14:textFill>
        </w:rPr>
        <w:t>2022年1月14日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xODRjN2Q1YmFhMDdmZjRhZTUyODQzYTE5MTk5YmYifQ=="/>
  </w:docVars>
  <w:rsids>
    <w:rsidRoot w:val="00E91900"/>
    <w:rsid w:val="00001326"/>
    <w:rsid w:val="00045B51"/>
    <w:rsid w:val="00051F7F"/>
    <w:rsid w:val="00084BB8"/>
    <w:rsid w:val="001B7448"/>
    <w:rsid w:val="002109F4"/>
    <w:rsid w:val="002F2292"/>
    <w:rsid w:val="00310BEE"/>
    <w:rsid w:val="00324AED"/>
    <w:rsid w:val="00415929"/>
    <w:rsid w:val="00445D51"/>
    <w:rsid w:val="00563D64"/>
    <w:rsid w:val="005C697E"/>
    <w:rsid w:val="0065629D"/>
    <w:rsid w:val="006D19C9"/>
    <w:rsid w:val="00717168"/>
    <w:rsid w:val="0074450C"/>
    <w:rsid w:val="007501E1"/>
    <w:rsid w:val="007720F0"/>
    <w:rsid w:val="007E0887"/>
    <w:rsid w:val="00821C89"/>
    <w:rsid w:val="0083210A"/>
    <w:rsid w:val="008737EF"/>
    <w:rsid w:val="008A1544"/>
    <w:rsid w:val="008A47BE"/>
    <w:rsid w:val="00987D65"/>
    <w:rsid w:val="009D5C5C"/>
    <w:rsid w:val="00A0686A"/>
    <w:rsid w:val="00A75615"/>
    <w:rsid w:val="00B00096"/>
    <w:rsid w:val="00B13AB1"/>
    <w:rsid w:val="00B727F9"/>
    <w:rsid w:val="00BD0FE4"/>
    <w:rsid w:val="00C26B87"/>
    <w:rsid w:val="00C639A7"/>
    <w:rsid w:val="00CB4633"/>
    <w:rsid w:val="00DF5DE1"/>
    <w:rsid w:val="00E34416"/>
    <w:rsid w:val="00E91900"/>
    <w:rsid w:val="00EA6FAD"/>
    <w:rsid w:val="00F67416"/>
    <w:rsid w:val="04DB00C6"/>
    <w:rsid w:val="079F3753"/>
    <w:rsid w:val="255F47F5"/>
    <w:rsid w:val="2ED05FAB"/>
    <w:rsid w:val="3EC55271"/>
    <w:rsid w:val="4E787A3E"/>
    <w:rsid w:val="50100316"/>
    <w:rsid w:val="531F2B31"/>
    <w:rsid w:val="56757125"/>
    <w:rsid w:val="651D7306"/>
    <w:rsid w:val="6B56531F"/>
    <w:rsid w:val="6ED54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页眉 Char"/>
    <w:basedOn w:val="7"/>
    <w:link w:val="3"/>
    <w:qFormat/>
    <w:uiPriority w:val="0"/>
    <w:rPr>
      <w:rFonts w:ascii="Calibri" w:hAnsi="Calibri" w:eastAsia="宋体" w:cs="Times New Roman"/>
      <w:kern w:val="2"/>
      <w:sz w:val="18"/>
      <w:szCs w:val="18"/>
    </w:rPr>
  </w:style>
  <w:style w:type="character" w:customStyle="1" w:styleId="10">
    <w:name w:val="页脚 Char"/>
    <w:basedOn w:val="7"/>
    <w:link w:val="2"/>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2330</Words>
  <Characters>2452</Characters>
  <Lines>17</Lines>
  <Paragraphs>5</Paragraphs>
  <TotalTime>1028</TotalTime>
  <ScaleCrop>false</ScaleCrop>
  <LinksUpToDate>false</LinksUpToDate>
  <CharactersWithSpaces>2456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Administrator.BF-20210323HTCR</dc:creator>
  <cp:lastModifiedBy>Nature</cp:lastModifiedBy>
  <cp:lastPrinted>2022-01-14T08:06:00Z</cp:lastPrinted>
  <dcterms:modified xsi:type="dcterms:W3CDTF">2023-01-09T02:36:50Z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752DF90C951A41678E0738D26FBE929A</vt:lpwstr>
  </property>
</Properties>
</file>