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iCs w:val="0"/>
          <w:caps w:val="0"/>
          <w:color w:val="000000" w:themeColor="text1"/>
          <w:spacing w:val="0"/>
          <w:sz w:val="36"/>
          <w:szCs w:val="36"/>
          <w14:textFill>
            <w14:solidFill>
              <w14:schemeClr w14:val="tx1"/>
            </w14:solidFill>
          </w14:textFill>
        </w:rPr>
      </w:pPr>
      <w:bookmarkStart w:id="0" w:name="_GoBack"/>
      <w:bookmarkEnd w:id="0"/>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丰城市工业信息化局2021年</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政府信息</w:t>
      </w:r>
      <w:r>
        <w:rPr>
          <w:rFonts w:hint="eastAsia" w:ascii="黑体" w:hAnsi="黑体" w:eastAsia="黑体" w:cs="黑体"/>
          <w:i w:val="0"/>
          <w:iCs w:val="0"/>
          <w:caps w:val="0"/>
          <w:color w:val="000000" w:themeColor="text1"/>
          <w:spacing w:val="0"/>
          <w:sz w:val="36"/>
          <w:szCs w:val="36"/>
          <w:shd w:val="clear" w:fill="FFFFFF"/>
          <w:lang w:val="en-US" w:eastAsia="zh-CN"/>
          <w14:textFill>
            <w14:solidFill>
              <w14:schemeClr w14:val="tx1"/>
            </w14:solidFill>
          </w14:textFill>
        </w:rPr>
        <w:t xml:space="preserve">            </w:t>
      </w:r>
      <w:r>
        <w:rPr>
          <w:rFonts w:hint="eastAsia" w:ascii="黑体" w:hAnsi="黑体" w:eastAsia="黑体" w:cs="黑体"/>
          <w:i w:val="0"/>
          <w:iCs w:val="0"/>
          <w:caps w:val="0"/>
          <w:color w:val="000000" w:themeColor="text1"/>
          <w:spacing w:val="0"/>
          <w:sz w:val="36"/>
          <w:szCs w:val="36"/>
          <w:shd w:val="clear" w:fill="FFFFFF"/>
          <w14:textFill>
            <w14:solidFill>
              <w14:schemeClr w14:val="tx1"/>
            </w14:solidFill>
          </w14:textFill>
        </w:rPr>
        <w:t>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default"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工业和信息化局办公室编制，本年度报告中所列数据统计期限自2021年1月1日至2021年12月31日止，并通过丰城市人民政府门户网站中“政府信息公开年报”栏目（网址:</w:t>
      </w:r>
      <w:r>
        <w:rPr>
          <w:rFonts w:hint="eastAsia" w:ascii="仿宋" w:hAnsi="仿宋" w:eastAsia="仿宋" w:cs="仿宋"/>
          <w:i w:val="0"/>
          <w:iCs w:val="0"/>
          <w:caps w:val="0"/>
          <w:color w:val="000000" w:themeColor="text1"/>
          <w:spacing w:val="0"/>
          <w:sz w:val="24"/>
          <w:szCs w:val="24"/>
          <w:shd w:val="clear" w:fill="FFFFFF"/>
          <w:lang w:val="en-US" w:eastAsia="zh-CN"/>
          <w14:textFill>
            <w14:solidFill>
              <w14:schemeClr w14:val="tx1"/>
            </w14:solidFill>
          </w14:textFill>
        </w:rPr>
        <w:t>http://www.jxfc.gov.cn/xxgk-show-123223.html</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）等平台向社会主动公开，如对本年报有疑问，请与丰城市工业和信息化局办公室联系（地址：丰城市第二行政中心4楼，电话：0795－6298456）。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 丰城市</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工业和信息化局</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在丰城市委、市政府和上级工信部门的坚强领导下，坚持以习近平新时代中国特色社会主义思想为指导，深入贯彻落实习近平总书记关于加强新时代工信工作重要论述、重要训词精神，扎实开展各项工作,有力维护了全市工业企业稳定发展，保障工业企业不断壮大做强。设置</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了</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回应关切、财政信息、建议提案办理等栏目，进一步提高专题专栏的内容质量。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420" w:leftChars="0" w:right="0" w:rightChars="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vAlign w:val="top"/>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6"/>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仿宋" w:hAnsi="仿宋" w:eastAsia="仿宋" w:cs="仿宋"/>
          <w:b w:val="0"/>
          <w:bCs/>
          <w:i w:val="0"/>
          <w:iCs w:val="0"/>
          <w:caps w:val="0"/>
          <w:color w:val="000000" w:themeColor="text1"/>
          <w:spacing w:val="0"/>
          <w:sz w:val="18"/>
          <w:szCs w:val="18"/>
          <w:shd w:val="clear" w:fill="FFFFFF"/>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黑体" w:hAnsi="黑体" w:eastAsia="黑体" w:cs="黑体"/>
          <w:b w:val="0"/>
          <w:bCs/>
          <w:i w:val="0"/>
          <w:iCs w:val="0"/>
          <w:caps w:val="0"/>
          <w:color w:val="000000" w:themeColor="text1"/>
          <w:spacing w:val="0"/>
          <w:sz w:val="28"/>
          <w:szCs w:val="28"/>
          <w14:textFill>
            <w14:solidFill>
              <w14:schemeClr w14:val="tx1"/>
            </w14:solidFill>
          </w14:textFill>
        </w:rPr>
      </w:pPr>
      <w:r>
        <w:rPr>
          <w:rStyle w:val="6"/>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2021年，我局政府信息公开工作取得一定成绩，但也存在一定问题。一是信息公开的频率跟次数要进一步提升；二是信息公开没有更好地服务工业企业，信息内容的及时性全面性有待进一步提高。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微软雅黑" w:hAnsi="微软雅黑" w:eastAsia="微软雅黑" w:cs="微软雅黑"/>
          <w:b w:val="0"/>
          <w:bCs/>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今后，我局将针对存在的问题，进一步改进政府信息公开工作，一是提升信息公开频率，安排专人负责，确保每周一篇内容公开；二是提升信息公开质量，结合我局职能、工作实际，以服务企业为目的，针对性、全面发布各类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无。</w:t>
      </w:r>
    </w:p>
    <w:p>
      <w:pPr>
        <w:pStyle w:val="2"/>
        <w:keepNext w:val="0"/>
        <w:keepLines w:val="0"/>
        <w:widowControl/>
        <w:suppressLineNumbers w:val="0"/>
        <w:spacing w:before="75" w:beforeAutospacing="0" w:after="75" w:afterAutospacing="0" w:line="555" w:lineRule="atLeast"/>
        <w:ind w:left="0" w:right="0" w:firstLine="645"/>
        <w:rPr>
          <w:rFonts w:hint="eastAsia" w:ascii="微软雅黑" w:hAnsi="微软雅黑" w:eastAsia="微软雅黑" w:cs="微软雅黑"/>
          <w:i w:val="0"/>
          <w:iCs w:val="0"/>
          <w:caps w:val="0"/>
          <w:color w:val="000000"/>
          <w:spacing w:val="0"/>
          <w:sz w:val="27"/>
          <w:szCs w:val="27"/>
        </w:rPr>
      </w:pPr>
      <w:r>
        <w:rPr>
          <w:rFonts w:hint="eastAsia" w:ascii="仿宋_GB2312" w:hAnsi="仿宋_GB2312" w:eastAsia="仿宋_GB2312" w:cs="仿宋_GB2312"/>
          <w:i w:val="0"/>
          <w:iCs w:val="0"/>
          <w:caps w:val="0"/>
          <w:color w:val="000000"/>
          <w:spacing w:val="0"/>
          <w:sz w:val="31"/>
          <w:szCs w:val="31"/>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_GB2312" w:hAnsi="仿宋_GB2312" w:eastAsia="仿宋_GB2312" w:cs="仿宋_GB2312"/>
          <w:i w:val="0"/>
          <w:iCs w:val="0"/>
          <w:caps w:val="0"/>
          <w:color w:val="000000"/>
          <w:spacing w:val="0"/>
          <w:sz w:val="31"/>
          <w:szCs w:val="31"/>
        </w:rPr>
        <w:t>  </w:t>
      </w:r>
      <w:r>
        <w:rPr>
          <w:rFonts w:hint="eastAsia" w:ascii="仿宋_GB2312" w:hAnsi="仿宋_GB2312" w:eastAsia="仿宋_GB2312" w:cs="仿宋_GB2312"/>
          <w:i w:val="0"/>
          <w:iCs w:val="0"/>
          <w:caps w:val="0"/>
          <w:color w:val="000000"/>
          <w:spacing w:val="0"/>
          <w:sz w:val="31"/>
          <w:szCs w:val="31"/>
          <w:lang w:val="en-US" w:eastAsia="zh-CN"/>
        </w:rPr>
        <w:t xml:space="preserve">                           </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 xml:space="preserve"> 丰城市工业和信息化局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 2022年1月1</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eastAsia" w:ascii="微软雅黑" w:hAnsi="微软雅黑" w:eastAsia="微软雅黑" w:cs="微软雅黑"/>
          <w:b w:val="0"/>
          <w:bCs/>
          <w:i w:val="0"/>
          <w:iCs w:val="0"/>
          <w:caps w:val="0"/>
          <w:color w:val="000000" w:themeColor="text1"/>
          <w:spacing w:val="0"/>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rPr>
          <w:b w:val="0"/>
          <w:bCs/>
          <w:color w:val="000000" w:themeColor="text1"/>
          <w:sz w:val="28"/>
          <w:szCs w:val="28"/>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A2D97"/>
    <w:rsid w:val="10BC2B1D"/>
    <w:rsid w:val="29F05F05"/>
    <w:rsid w:val="4E787A3E"/>
    <w:rsid w:val="52972904"/>
    <w:rsid w:val="6277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Z佳</cp:lastModifiedBy>
  <dcterms:modified xsi:type="dcterms:W3CDTF">2022-01-19T08:16:07Z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5F57BE279F45432798C79D701806756B</vt:lpwstr>
  </property>
</Properties>
</file>