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 w:val="28"/>
          <w:szCs w:val="28"/>
        </w:rPr>
      </w:pPr>
      <w:r>
        <w:rPr>
          <w:rFonts w:hint="eastAsia" w:ascii="黑体" w:hAnsi="黑体" w:eastAsia="黑体"/>
          <w:sz w:val="36"/>
          <w:szCs w:val="36"/>
        </w:rPr>
        <w:t>丰城市发改委2021年度政府信息公开</w:t>
      </w:r>
      <w:r>
        <w:rPr>
          <w:rFonts w:hint="eastAsia" w:ascii="黑体" w:hAnsi="黑体" w:eastAsia="黑体"/>
          <w:sz w:val="36"/>
          <w:szCs w:val="36"/>
          <w:lang w:val="en-US" w:eastAsia="zh-CN"/>
        </w:rPr>
        <w:t>年度</w:t>
      </w:r>
      <w:r>
        <w:rPr>
          <w:rFonts w:hint="eastAsia" w:ascii="黑体" w:hAnsi="黑体" w:eastAsia="黑体"/>
          <w:sz w:val="36"/>
          <w:szCs w:val="36"/>
        </w:rPr>
        <w:t>报告</w:t>
      </w:r>
    </w:p>
    <w:p>
      <w:pPr>
        <w:pStyle w:val="5"/>
        <w:widowControl/>
        <w:shd w:val="clear" w:color="auto" w:fill="FFFFFF"/>
        <w:spacing w:beforeAutospacing="0" w:afterAutospacing="0" w:line="600" w:lineRule="exact"/>
        <w:jc w:val="both"/>
        <w:rPr>
          <w:rStyle w:val="8"/>
          <w:rFonts w:ascii="微软雅黑" w:hAnsi="微软雅黑" w:eastAsia="微软雅黑" w:cs="微软雅黑"/>
          <w:color w:val="000000" w:themeColor="text1"/>
          <w:sz w:val="22"/>
          <w:szCs w:val="22"/>
          <w:shd w:val="clear" w:color="auto" w:fill="FFFFFF"/>
        </w:rPr>
      </w:pPr>
      <w:r>
        <w:rPr>
          <w:rStyle w:val="8"/>
          <w:rFonts w:hint="eastAsia" w:ascii="微软雅黑" w:hAnsi="微软雅黑" w:eastAsia="微软雅黑" w:cs="微软雅黑"/>
          <w:color w:val="000000" w:themeColor="text1"/>
          <w:sz w:val="22"/>
          <w:szCs w:val="22"/>
          <w:shd w:val="clear" w:color="auto" w:fill="FFFFFF"/>
        </w:rPr>
        <w:t xml:space="preserve">  </w:t>
      </w:r>
    </w:p>
    <w:p>
      <w:pPr>
        <w:pStyle w:val="5"/>
        <w:widowControl/>
        <w:shd w:val="clear" w:color="auto" w:fill="FFFFFF"/>
        <w:spacing w:beforeAutospacing="0" w:afterAutospacing="0" w:line="600" w:lineRule="exact"/>
        <w:ind w:firstLine="600" w:firstLineChars="200"/>
        <w:jc w:val="both"/>
        <w:rPr>
          <w:rFonts w:ascii="黑体" w:hAnsi="黑体" w:eastAsia="黑体"/>
          <w:kern w:val="2"/>
          <w:sz w:val="28"/>
          <w:szCs w:val="28"/>
        </w:rPr>
      </w:pPr>
      <w:r>
        <w:rPr>
          <w:rFonts w:hint="eastAsia" w:ascii="仿宋" w:hAnsi="仿宋" w:eastAsia="仿宋" w:cs="仿宋"/>
          <w:color w:val="000000" w:themeColor="text1"/>
          <w:sz w:val="30"/>
          <w:szCs w:val="30"/>
          <w:shd w:val="clear" w:color="auto" w:fill="FFFFFF"/>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发改委单位办公室编制，本年度报告中所列数据统计期限自2021年1月1日至2021年12月31日止，并通过丰城市人民政府门户网站中“政府信息公开年报”栏目（网址:</w:t>
      </w:r>
      <w:r>
        <w:rPr>
          <w:rFonts w:hint="eastAsia" w:ascii="仿宋" w:hAnsi="仿宋" w:eastAsia="仿宋" w:cs="仿宋"/>
          <w:color w:val="000000" w:themeColor="text1"/>
          <w:sz w:val="30"/>
          <w:szCs w:val="30"/>
          <w:shd w:val="clear" w:color="auto" w:fill="FFFFFF"/>
        </w:rPr>
        <w:fldChar w:fldCharType="begin"/>
      </w:r>
      <w:r>
        <w:rPr>
          <w:rFonts w:hint="eastAsia" w:ascii="仿宋" w:hAnsi="仿宋" w:eastAsia="仿宋" w:cs="仿宋"/>
          <w:color w:val="000000" w:themeColor="text1"/>
          <w:sz w:val="30"/>
          <w:szCs w:val="30"/>
          <w:shd w:val="clear" w:color="auto" w:fill="FFFFFF"/>
        </w:rPr>
        <w:instrText xml:space="preserve"> HYPERLINK "http://www.jxfc.gov.cn/xxgk-show-123794.html" </w:instrText>
      </w:r>
      <w:r>
        <w:rPr>
          <w:rFonts w:hint="eastAsia" w:ascii="仿宋" w:hAnsi="仿宋" w:eastAsia="仿宋" w:cs="仿宋"/>
          <w:color w:val="000000" w:themeColor="text1"/>
          <w:sz w:val="30"/>
          <w:szCs w:val="30"/>
          <w:shd w:val="clear" w:color="auto" w:fill="FFFFFF"/>
        </w:rPr>
        <w:fldChar w:fldCharType="separate"/>
      </w:r>
      <w:r>
        <w:rPr>
          <w:rStyle w:val="10"/>
          <w:rFonts w:hint="eastAsia" w:ascii="仿宋" w:hAnsi="仿宋" w:eastAsia="仿宋" w:cs="仿宋"/>
          <w:sz w:val="30"/>
          <w:szCs w:val="30"/>
          <w:shd w:val="clear" w:color="auto" w:fill="FFFFFF"/>
        </w:rPr>
        <w:t>http://www.jxfc.gov.cn/xxgk-show-123794.html</w:t>
      </w:r>
      <w:r>
        <w:rPr>
          <w:rFonts w:hint="eastAsia" w:ascii="仿宋" w:hAnsi="仿宋" w:eastAsia="仿宋" w:cs="仿宋"/>
          <w:color w:val="000000" w:themeColor="text1"/>
          <w:sz w:val="30"/>
          <w:szCs w:val="30"/>
          <w:shd w:val="clear" w:color="auto" w:fill="FFFFFF"/>
        </w:rPr>
        <w:fldChar w:fldCharType="end"/>
      </w:r>
      <w:r>
        <w:rPr>
          <w:rFonts w:hint="eastAsia" w:ascii="仿宋" w:hAnsi="仿宋" w:eastAsia="仿宋" w:cs="仿宋"/>
          <w:color w:val="000000" w:themeColor="text1"/>
          <w:sz w:val="30"/>
          <w:szCs w:val="30"/>
          <w:shd w:val="clear" w:color="auto" w:fill="FFFFFF"/>
        </w:rPr>
        <w:t>）等平台向社会主动公开，如对本年报有疑问，请与发改委办公室联系（地址：丰城市河洲街道府前路288号市行政大楼701室，电话：0795-6608283）</w:t>
      </w:r>
    </w:p>
    <w:p>
      <w:pPr>
        <w:ind w:firstLine="560" w:firstLineChars="200"/>
        <w:rPr>
          <w:rFonts w:ascii="黑体" w:hAnsi="黑体" w:eastAsia="黑体"/>
          <w:sz w:val="28"/>
          <w:szCs w:val="28"/>
        </w:rPr>
      </w:pPr>
      <w:r>
        <w:rPr>
          <w:rFonts w:hint="eastAsia" w:ascii="黑体" w:hAnsi="黑体" w:eastAsia="黑体"/>
          <w:sz w:val="28"/>
          <w:szCs w:val="28"/>
        </w:rPr>
        <w:t>一、总体情况</w:t>
      </w:r>
    </w:p>
    <w:p>
      <w:pPr>
        <w:overflowPunct w:val="0"/>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根据丰城市人民政办公室相关</w:t>
      </w:r>
      <w:r>
        <w:rPr>
          <w:rFonts w:hint="eastAsia" w:ascii="仿宋" w:hAnsi="仿宋" w:eastAsia="仿宋" w:cs="仿宋"/>
          <w:color w:val="000000"/>
          <w:sz w:val="32"/>
          <w:szCs w:val="32"/>
        </w:rPr>
        <w:t>文件精神，</w:t>
      </w:r>
      <w:r>
        <w:rPr>
          <w:rFonts w:hint="eastAsia" w:ascii="仿宋" w:hAnsi="仿宋" w:eastAsia="仿宋" w:cs="仿宋"/>
          <w:color w:val="333333"/>
          <w:sz w:val="32"/>
          <w:szCs w:val="32"/>
          <w:shd w:val="clear" w:color="auto" w:fill="FFFFFF"/>
        </w:rPr>
        <w:t>2021年，发改委信息公开工作在市委、市政府的正确领导下，在市政府办的具体指导下，认真贯彻党的十九大和历次全会精神，以建设“五型政府”为工作目标，扎实做好各类政府信息公开工作。现将有关情况报告如下：</w:t>
      </w:r>
    </w:p>
    <w:p>
      <w:pPr>
        <w:pStyle w:val="5"/>
        <w:widowControl/>
        <w:shd w:val="clear" w:color="auto" w:fill="FFFFFF"/>
        <w:wordWrap w:val="0"/>
        <w:spacing w:beforeAutospacing="0" w:afterAutospacing="0" w:line="600" w:lineRule="atLeast"/>
        <w:ind w:firstLine="64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（一）主动公开政府信息情况</w:t>
      </w:r>
    </w:p>
    <w:p>
      <w:pPr>
        <w:pStyle w:val="5"/>
        <w:widowControl/>
        <w:shd w:val="clear" w:color="auto" w:fill="FFFFFF"/>
        <w:wordWrap w:val="0"/>
        <w:spacing w:beforeAutospacing="0" w:afterAutospacing="0" w:line="600" w:lineRule="atLeast"/>
        <w:ind w:firstLine="64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截至2021年12月31日，我委共累计通过政府信息公开平台发布各类信息223条，通过网络问政平台发布信息62条。</w:t>
      </w:r>
    </w:p>
    <w:p>
      <w:pPr>
        <w:pStyle w:val="5"/>
        <w:widowControl/>
        <w:shd w:val="clear" w:color="auto" w:fill="FFFFFF"/>
        <w:wordWrap w:val="0"/>
        <w:spacing w:beforeAutospacing="0" w:afterAutospacing="0" w:line="600" w:lineRule="atLeast"/>
        <w:ind w:firstLine="64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（二）政府信息依申请公开情况</w:t>
      </w:r>
    </w:p>
    <w:p>
      <w:pPr>
        <w:pStyle w:val="5"/>
        <w:widowControl/>
        <w:shd w:val="clear" w:color="auto" w:fill="FFFFFF"/>
        <w:wordWrap w:val="0"/>
        <w:spacing w:beforeAutospacing="0" w:afterAutospacing="0" w:line="600" w:lineRule="atLeast"/>
        <w:ind w:firstLine="64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2021年1月1日至12月31日，全年未受理依申请公开事项。</w:t>
      </w:r>
    </w:p>
    <w:p>
      <w:pPr>
        <w:pStyle w:val="5"/>
        <w:widowControl/>
        <w:shd w:val="clear" w:color="auto" w:fill="FFFFFF"/>
        <w:wordWrap w:val="0"/>
        <w:spacing w:beforeAutospacing="0" w:afterAutospacing="0" w:line="600" w:lineRule="atLeast"/>
        <w:ind w:left="64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（三）解读回应情况</w:t>
      </w:r>
    </w:p>
    <w:p>
      <w:pPr>
        <w:pStyle w:val="5"/>
        <w:widowControl/>
        <w:shd w:val="clear" w:color="auto" w:fill="FFFFFF"/>
        <w:wordWrap w:val="0"/>
        <w:spacing w:beforeAutospacing="0" w:afterAutospacing="0" w:line="600" w:lineRule="atLeast"/>
        <w:ind w:firstLine="640" w:firstLineChars="200"/>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全年共回应社会关切13条，回复率为100%。其中：“网络问政”平台回复3条；“12345”热线回复10条。</w:t>
      </w:r>
    </w:p>
    <w:p>
      <w:pPr>
        <w:pStyle w:val="5"/>
        <w:widowControl/>
        <w:shd w:val="clear" w:color="auto" w:fill="FFFFFF"/>
        <w:wordWrap w:val="0"/>
        <w:spacing w:beforeAutospacing="0" w:afterAutospacing="0" w:line="600" w:lineRule="atLeast"/>
        <w:ind w:firstLine="640"/>
        <w:jc w:val="both"/>
        <w:rPr>
          <w:rFonts w:ascii="仿宋" w:hAnsi="仿宋" w:eastAsia="仿宋" w:cs="仿宋"/>
          <w:sz w:val="32"/>
          <w:szCs w:val="32"/>
        </w:rPr>
      </w:pPr>
      <w:r>
        <w:rPr>
          <w:rFonts w:hint="eastAsia" w:ascii="仿宋" w:hAnsi="仿宋" w:eastAsia="仿宋" w:cs="仿宋"/>
          <w:color w:val="333333"/>
          <w:sz w:val="32"/>
          <w:szCs w:val="32"/>
          <w:shd w:val="clear" w:color="auto" w:fill="FFFFFF"/>
        </w:rPr>
        <w:t>（四）行政复议、行政诉讼的情况</w:t>
      </w:r>
    </w:p>
    <w:p>
      <w:pPr>
        <w:pStyle w:val="5"/>
        <w:widowControl/>
        <w:shd w:val="clear" w:color="auto" w:fill="FFFFFF"/>
        <w:wordWrap w:val="0"/>
        <w:spacing w:beforeAutospacing="0" w:afterAutospacing="0" w:line="600" w:lineRule="atLeast"/>
        <w:ind w:firstLine="640"/>
        <w:jc w:val="both"/>
        <w:rPr>
          <w:rFonts w:ascii="仿宋" w:hAnsi="仿宋" w:eastAsia="仿宋" w:cs="仿宋"/>
          <w:color w:val="333333"/>
          <w:sz w:val="32"/>
          <w:szCs w:val="32"/>
          <w:shd w:val="clear" w:color="auto" w:fill="FFFFFF"/>
        </w:rPr>
      </w:pPr>
      <w:r>
        <w:rPr>
          <w:rFonts w:hint="eastAsia" w:ascii="仿宋" w:hAnsi="仿宋" w:eastAsia="仿宋" w:cs="仿宋"/>
          <w:color w:val="333333"/>
          <w:sz w:val="32"/>
          <w:szCs w:val="32"/>
          <w:shd w:val="clear" w:color="auto" w:fill="FFFFFF"/>
        </w:rPr>
        <w:t>2021年，我委未发生因不服政府信息公开而提起行政复议或行政诉讼的案件。</w:t>
      </w:r>
    </w:p>
    <w:p>
      <w:pPr>
        <w:pStyle w:val="5"/>
        <w:widowControl/>
        <w:shd w:val="clear" w:color="auto" w:fill="FFFFFF"/>
        <w:wordWrap w:val="0"/>
        <w:spacing w:beforeAutospacing="0" w:afterAutospacing="0" w:line="600" w:lineRule="atLeast"/>
        <w:ind w:firstLine="640"/>
        <w:jc w:val="both"/>
        <w:rPr>
          <w:rFonts w:ascii="黑体" w:hAnsi="黑体" w:eastAsia="黑体"/>
          <w:kern w:val="2"/>
          <w:sz w:val="28"/>
          <w:szCs w:val="28"/>
        </w:rPr>
      </w:pPr>
      <w:r>
        <w:rPr>
          <w:rFonts w:hint="eastAsia" w:ascii="黑体" w:hAnsi="黑体" w:eastAsia="黑体"/>
          <w:kern w:val="2"/>
          <w:sz w:val="28"/>
          <w:szCs w:val="28"/>
        </w:rPr>
        <w:t>二、主动公开政府信息情况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48"/>
        <w:gridCol w:w="1812"/>
        <w:gridCol w:w="2131"/>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tcPr>
          <w:p>
            <w:pPr>
              <w:jc w:val="center"/>
            </w:pPr>
            <w:r>
              <w:rPr>
                <w:rFonts w:hint="eastAsia"/>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信息内容</w:t>
            </w:r>
          </w:p>
        </w:tc>
        <w:tc>
          <w:tcPr>
            <w:tcW w:w="1812" w:type="dxa"/>
            <w:vAlign w:val="center"/>
          </w:tcPr>
          <w:p>
            <w:pPr>
              <w:jc w:val="center"/>
            </w:pPr>
            <w:r>
              <w:rPr>
                <w:rFonts w:hint="eastAsia"/>
              </w:rPr>
              <w:t>本年制发件数</w:t>
            </w:r>
          </w:p>
        </w:tc>
        <w:tc>
          <w:tcPr>
            <w:tcW w:w="2131" w:type="dxa"/>
            <w:vAlign w:val="center"/>
          </w:tcPr>
          <w:p>
            <w:pPr>
              <w:jc w:val="center"/>
            </w:pPr>
            <w:r>
              <w:rPr>
                <w:rFonts w:hint="eastAsia"/>
              </w:rPr>
              <w:t>本年废止件数</w:t>
            </w:r>
          </w:p>
        </w:tc>
        <w:tc>
          <w:tcPr>
            <w:tcW w:w="2131" w:type="dxa"/>
            <w:vAlign w:val="center"/>
          </w:tcPr>
          <w:p>
            <w:pPr>
              <w:jc w:val="center"/>
            </w:pPr>
            <w:r>
              <w:rPr>
                <w:rFonts w:hint="eastAsia"/>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规章</w:t>
            </w:r>
          </w:p>
        </w:tc>
        <w:tc>
          <w:tcPr>
            <w:tcW w:w="1812" w:type="dxa"/>
            <w:vAlign w:val="center"/>
          </w:tcPr>
          <w:p>
            <w:pPr>
              <w:jc w:val="center"/>
            </w:pPr>
            <w:r>
              <w:rPr>
                <w:rFonts w:hint="eastAsia"/>
              </w:rPr>
              <w:t>0</w:t>
            </w:r>
          </w:p>
        </w:tc>
        <w:tc>
          <w:tcPr>
            <w:tcW w:w="2131" w:type="dxa"/>
            <w:vAlign w:val="center"/>
          </w:tcPr>
          <w:p>
            <w:pPr>
              <w:jc w:val="center"/>
            </w:pPr>
            <w:r>
              <w:rPr>
                <w:rFonts w:hint="eastAsia"/>
              </w:rPr>
              <w:t>0</w:t>
            </w:r>
          </w:p>
        </w:tc>
        <w:tc>
          <w:tcPr>
            <w:tcW w:w="2131"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行政规范性文件</w:t>
            </w:r>
          </w:p>
        </w:tc>
        <w:tc>
          <w:tcPr>
            <w:tcW w:w="1812" w:type="dxa"/>
            <w:vAlign w:val="center"/>
          </w:tcPr>
          <w:p>
            <w:pPr>
              <w:jc w:val="center"/>
            </w:pPr>
            <w:r>
              <w:rPr>
                <w:rFonts w:hint="eastAsia"/>
              </w:rPr>
              <w:t>0</w:t>
            </w:r>
          </w:p>
        </w:tc>
        <w:tc>
          <w:tcPr>
            <w:tcW w:w="2131" w:type="dxa"/>
            <w:vAlign w:val="center"/>
          </w:tcPr>
          <w:p>
            <w:pPr>
              <w:jc w:val="center"/>
            </w:pPr>
            <w:r>
              <w:rPr>
                <w:rFonts w:hint="eastAsia"/>
              </w:rPr>
              <w:t>0</w:t>
            </w:r>
          </w:p>
        </w:tc>
        <w:tc>
          <w:tcPr>
            <w:tcW w:w="2131" w:type="dxa"/>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jc w:val="center"/>
            </w:pPr>
            <w:r>
              <w:rPr>
                <w:rFonts w:hint="eastAsia"/>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信息内容</w:t>
            </w:r>
          </w:p>
        </w:tc>
        <w:tc>
          <w:tcPr>
            <w:tcW w:w="6074" w:type="dxa"/>
            <w:gridSpan w:val="3"/>
            <w:vAlign w:val="center"/>
          </w:tcPr>
          <w:p>
            <w:pPr>
              <w:jc w:val="center"/>
            </w:pPr>
            <w:r>
              <w:rPr>
                <w:rFonts w:hint="eastAsia"/>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行政许可</w:t>
            </w:r>
          </w:p>
        </w:tc>
        <w:tc>
          <w:tcPr>
            <w:tcW w:w="6074" w:type="dxa"/>
            <w:gridSpan w:val="3"/>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jc w:val="center"/>
            </w:pPr>
            <w:r>
              <w:rPr>
                <w:rFonts w:hint="eastAsia"/>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信息内容</w:t>
            </w:r>
          </w:p>
        </w:tc>
        <w:tc>
          <w:tcPr>
            <w:tcW w:w="6074" w:type="dxa"/>
            <w:gridSpan w:val="3"/>
            <w:vAlign w:val="center"/>
          </w:tcPr>
          <w:p>
            <w:pPr>
              <w:jc w:val="center"/>
            </w:pPr>
            <w:r>
              <w:rPr>
                <w:rFonts w:hint="eastAsia"/>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行政处罚</w:t>
            </w:r>
          </w:p>
        </w:tc>
        <w:tc>
          <w:tcPr>
            <w:tcW w:w="6074" w:type="dxa"/>
            <w:gridSpan w:val="3"/>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行政强制</w:t>
            </w:r>
          </w:p>
        </w:tc>
        <w:tc>
          <w:tcPr>
            <w:tcW w:w="6074" w:type="dxa"/>
            <w:gridSpan w:val="3"/>
            <w:vAlign w:val="center"/>
          </w:tcPr>
          <w:p>
            <w:pPr>
              <w:jc w:val="center"/>
            </w:pPr>
            <w:r>
              <w:rPr>
                <w:rFonts w:hint="eastAsia"/>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8522" w:type="dxa"/>
            <w:gridSpan w:val="4"/>
            <w:vAlign w:val="center"/>
          </w:tcPr>
          <w:p>
            <w:pPr>
              <w:jc w:val="center"/>
            </w:pPr>
            <w:r>
              <w:rPr>
                <w:rFonts w:hint="eastAsia"/>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信息内容</w:t>
            </w:r>
          </w:p>
        </w:tc>
        <w:tc>
          <w:tcPr>
            <w:tcW w:w="6074" w:type="dxa"/>
            <w:gridSpan w:val="3"/>
            <w:vAlign w:val="center"/>
          </w:tcPr>
          <w:p>
            <w:pPr>
              <w:jc w:val="center"/>
            </w:pPr>
            <w:r>
              <w:rPr>
                <w:rFonts w:hint="eastAsia"/>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2448" w:type="dxa"/>
            <w:vAlign w:val="center"/>
          </w:tcPr>
          <w:p>
            <w:pPr>
              <w:jc w:val="left"/>
            </w:pPr>
            <w:r>
              <w:rPr>
                <w:rFonts w:hint="eastAsia"/>
              </w:rPr>
              <w:t>行政事业性收费</w:t>
            </w:r>
          </w:p>
        </w:tc>
        <w:tc>
          <w:tcPr>
            <w:tcW w:w="6074" w:type="dxa"/>
            <w:gridSpan w:val="3"/>
            <w:vAlign w:val="center"/>
          </w:tcPr>
          <w:p>
            <w:pPr>
              <w:jc w:val="center"/>
            </w:pPr>
            <w:r>
              <w:rPr>
                <w:rFonts w:hint="eastAsia"/>
              </w:rPr>
              <w:t>0</w:t>
            </w:r>
          </w:p>
        </w:tc>
      </w:tr>
    </w:tbl>
    <w:p/>
    <w:p/>
    <w:p>
      <w:pPr>
        <w:pStyle w:val="2"/>
      </w:pPr>
    </w:p>
    <w:p>
      <w:pPr>
        <w:pStyle w:val="2"/>
        <w:ind w:left="0" w:leftChars="0" w:firstLine="0"/>
      </w:pPr>
    </w:p>
    <w:p>
      <w:pPr>
        <w:ind w:firstLine="280" w:firstLineChars="100"/>
        <w:rPr>
          <w:rFonts w:ascii="黑体" w:hAnsi="黑体" w:eastAsia="黑体"/>
          <w:sz w:val="28"/>
          <w:szCs w:val="28"/>
        </w:rPr>
      </w:pPr>
      <w:r>
        <w:rPr>
          <w:rFonts w:hint="eastAsia" w:ascii="黑体" w:hAnsi="黑体" w:eastAsia="黑体"/>
          <w:sz w:val="28"/>
          <w:szCs w:val="28"/>
        </w:rPr>
        <w:t>三、收到和处理政府信息公开申请情况</w:t>
      </w:r>
    </w:p>
    <w:tbl>
      <w:tblPr>
        <w:tblStyle w:val="6"/>
        <w:tblW w:w="8220" w:type="dxa"/>
        <w:tblInd w:w="18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0"/>
        <w:gridCol w:w="387"/>
        <w:gridCol w:w="2433"/>
        <w:gridCol w:w="540"/>
        <w:gridCol w:w="885"/>
        <w:gridCol w:w="720"/>
        <w:gridCol w:w="870"/>
        <w:gridCol w:w="795"/>
        <w:gridCol w:w="555"/>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3300" w:type="dxa"/>
            <w:gridSpan w:val="3"/>
            <w:vMerge w:val="restart"/>
            <w:vAlign w:val="center"/>
          </w:tcPr>
          <w:p>
            <w:pPr>
              <w:rPr>
                <w:sz w:val="18"/>
                <w:szCs w:val="18"/>
              </w:rPr>
            </w:pPr>
            <w:r>
              <w:rPr>
                <w:rFonts w:hint="eastAsia"/>
                <w:sz w:val="18"/>
                <w:szCs w:val="18"/>
              </w:rPr>
              <w:t>（本列表的勾稽关系为：第一项加第二项之和，等于第三项加第四项之和）</w:t>
            </w:r>
          </w:p>
        </w:tc>
        <w:tc>
          <w:tcPr>
            <w:tcW w:w="4920" w:type="dxa"/>
            <w:gridSpan w:val="7"/>
            <w:vAlign w:val="center"/>
          </w:tcPr>
          <w:p>
            <w:pPr>
              <w:jc w:val="center"/>
              <w:rPr>
                <w:sz w:val="18"/>
                <w:szCs w:val="18"/>
              </w:rPr>
            </w:pPr>
            <w:r>
              <w:rPr>
                <w:rFonts w:hint="eastAsia"/>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0" w:hRule="atLeast"/>
        </w:trPr>
        <w:tc>
          <w:tcPr>
            <w:tcW w:w="3300" w:type="dxa"/>
            <w:gridSpan w:val="3"/>
            <w:vMerge w:val="continue"/>
          </w:tcPr>
          <w:p>
            <w:pPr>
              <w:rPr>
                <w:sz w:val="18"/>
                <w:szCs w:val="18"/>
              </w:rPr>
            </w:pPr>
          </w:p>
        </w:tc>
        <w:tc>
          <w:tcPr>
            <w:tcW w:w="540" w:type="dxa"/>
            <w:vMerge w:val="restart"/>
            <w:vAlign w:val="center"/>
          </w:tcPr>
          <w:p>
            <w:pPr>
              <w:jc w:val="center"/>
              <w:rPr>
                <w:sz w:val="18"/>
                <w:szCs w:val="18"/>
              </w:rPr>
            </w:pPr>
            <w:r>
              <w:rPr>
                <w:rFonts w:hint="eastAsia"/>
                <w:sz w:val="18"/>
                <w:szCs w:val="18"/>
              </w:rPr>
              <w:t>自然人</w:t>
            </w:r>
          </w:p>
        </w:tc>
        <w:tc>
          <w:tcPr>
            <w:tcW w:w="3825" w:type="dxa"/>
            <w:gridSpan w:val="5"/>
            <w:vAlign w:val="center"/>
          </w:tcPr>
          <w:p>
            <w:pPr>
              <w:jc w:val="center"/>
              <w:rPr>
                <w:sz w:val="18"/>
                <w:szCs w:val="18"/>
              </w:rPr>
            </w:pPr>
            <w:r>
              <w:rPr>
                <w:rFonts w:hint="eastAsia"/>
                <w:sz w:val="18"/>
                <w:szCs w:val="18"/>
              </w:rPr>
              <w:t>法人或其他组织</w:t>
            </w:r>
          </w:p>
        </w:tc>
        <w:tc>
          <w:tcPr>
            <w:tcW w:w="555" w:type="dxa"/>
            <w:vMerge w:val="restart"/>
            <w:vAlign w:val="center"/>
          </w:tcPr>
          <w:p>
            <w:pPr>
              <w:jc w:val="center"/>
              <w:rPr>
                <w:sz w:val="18"/>
                <w:szCs w:val="18"/>
              </w:rPr>
            </w:pPr>
            <w:r>
              <w:rPr>
                <w:rFonts w:hint="eastAsia"/>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3300" w:type="dxa"/>
            <w:gridSpan w:val="3"/>
            <w:vMerge w:val="continue"/>
          </w:tcPr>
          <w:p>
            <w:pPr>
              <w:rPr>
                <w:sz w:val="18"/>
                <w:szCs w:val="18"/>
              </w:rPr>
            </w:pPr>
          </w:p>
        </w:tc>
        <w:tc>
          <w:tcPr>
            <w:tcW w:w="540" w:type="dxa"/>
            <w:vMerge w:val="continue"/>
            <w:vAlign w:val="center"/>
          </w:tcPr>
          <w:p>
            <w:pPr>
              <w:jc w:val="center"/>
              <w:rPr>
                <w:sz w:val="18"/>
                <w:szCs w:val="18"/>
              </w:rPr>
            </w:pPr>
          </w:p>
        </w:tc>
        <w:tc>
          <w:tcPr>
            <w:tcW w:w="885" w:type="dxa"/>
            <w:vAlign w:val="center"/>
          </w:tcPr>
          <w:p>
            <w:pPr>
              <w:jc w:val="center"/>
              <w:rPr>
                <w:sz w:val="18"/>
                <w:szCs w:val="18"/>
              </w:rPr>
            </w:pPr>
            <w:r>
              <w:rPr>
                <w:rFonts w:hint="eastAsia"/>
                <w:sz w:val="18"/>
                <w:szCs w:val="18"/>
              </w:rPr>
              <w:t>商业</w:t>
            </w:r>
          </w:p>
          <w:p>
            <w:pPr>
              <w:jc w:val="center"/>
              <w:rPr>
                <w:sz w:val="18"/>
                <w:szCs w:val="18"/>
              </w:rPr>
            </w:pPr>
            <w:r>
              <w:rPr>
                <w:rFonts w:hint="eastAsia"/>
                <w:sz w:val="18"/>
                <w:szCs w:val="18"/>
              </w:rPr>
              <w:t>企业</w:t>
            </w:r>
          </w:p>
        </w:tc>
        <w:tc>
          <w:tcPr>
            <w:tcW w:w="720" w:type="dxa"/>
            <w:vAlign w:val="center"/>
          </w:tcPr>
          <w:p>
            <w:pPr>
              <w:jc w:val="center"/>
              <w:rPr>
                <w:sz w:val="18"/>
                <w:szCs w:val="18"/>
              </w:rPr>
            </w:pPr>
            <w:r>
              <w:rPr>
                <w:rFonts w:hint="eastAsia"/>
                <w:sz w:val="18"/>
                <w:szCs w:val="18"/>
              </w:rPr>
              <w:t>科研</w:t>
            </w:r>
          </w:p>
          <w:p>
            <w:pPr>
              <w:jc w:val="center"/>
              <w:rPr>
                <w:sz w:val="18"/>
                <w:szCs w:val="18"/>
              </w:rPr>
            </w:pPr>
            <w:r>
              <w:rPr>
                <w:rFonts w:hint="eastAsia"/>
                <w:sz w:val="18"/>
                <w:szCs w:val="18"/>
              </w:rPr>
              <w:t>机构</w:t>
            </w:r>
          </w:p>
        </w:tc>
        <w:tc>
          <w:tcPr>
            <w:tcW w:w="870" w:type="dxa"/>
            <w:vAlign w:val="center"/>
          </w:tcPr>
          <w:p>
            <w:pPr>
              <w:jc w:val="center"/>
              <w:rPr>
                <w:sz w:val="18"/>
                <w:szCs w:val="18"/>
              </w:rPr>
            </w:pPr>
            <w:r>
              <w:rPr>
                <w:rFonts w:hint="eastAsia"/>
                <w:sz w:val="18"/>
                <w:szCs w:val="18"/>
              </w:rPr>
              <w:t>社会公益组织</w:t>
            </w:r>
          </w:p>
        </w:tc>
        <w:tc>
          <w:tcPr>
            <w:tcW w:w="795" w:type="dxa"/>
            <w:vAlign w:val="center"/>
          </w:tcPr>
          <w:p>
            <w:pPr>
              <w:jc w:val="center"/>
              <w:rPr>
                <w:sz w:val="18"/>
                <w:szCs w:val="18"/>
              </w:rPr>
            </w:pPr>
            <w:r>
              <w:rPr>
                <w:rFonts w:hint="eastAsia"/>
                <w:sz w:val="18"/>
                <w:szCs w:val="18"/>
              </w:rPr>
              <w:t>法律服务机构</w:t>
            </w:r>
          </w:p>
        </w:tc>
        <w:tc>
          <w:tcPr>
            <w:tcW w:w="555" w:type="dxa"/>
            <w:vAlign w:val="center"/>
          </w:tcPr>
          <w:p>
            <w:pPr>
              <w:jc w:val="center"/>
              <w:rPr>
                <w:sz w:val="18"/>
                <w:szCs w:val="18"/>
              </w:rPr>
            </w:pPr>
            <w:r>
              <w:rPr>
                <w:rFonts w:hint="eastAsia"/>
                <w:sz w:val="18"/>
                <w:szCs w:val="18"/>
              </w:rPr>
              <w:t>其他</w:t>
            </w:r>
          </w:p>
        </w:tc>
        <w:tc>
          <w:tcPr>
            <w:tcW w:w="555" w:type="dxa"/>
            <w:vMerge w:val="continue"/>
            <w:vAlign w:val="center"/>
          </w:tcPr>
          <w:p>
            <w:pPr>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8" w:hRule="atLeast"/>
        </w:trPr>
        <w:tc>
          <w:tcPr>
            <w:tcW w:w="3300" w:type="dxa"/>
            <w:gridSpan w:val="3"/>
            <w:vAlign w:val="center"/>
          </w:tcPr>
          <w:p>
            <w:pPr>
              <w:rPr>
                <w:sz w:val="18"/>
                <w:szCs w:val="18"/>
              </w:rPr>
            </w:pPr>
            <w:r>
              <w:rPr>
                <w:rFonts w:hint="eastAsia"/>
                <w:sz w:val="18"/>
                <w:szCs w:val="18"/>
              </w:rPr>
              <w:t>一、本年新收政府信息公开申请数量</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trPr>
        <w:tc>
          <w:tcPr>
            <w:tcW w:w="3300" w:type="dxa"/>
            <w:gridSpan w:val="3"/>
            <w:vAlign w:val="center"/>
          </w:tcPr>
          <w:p>
            <w:pPr>
              <w:rPr>
                <w:sz w:val="18"/>
                <w:szCs w:val="18"/>
              </w:rPr>
            </w:pPr>
            <w:r>
              <w:rPr>
                <w:rFonts w:hint="eastAsia"/>
                <w:sz w:val="18"/>
                <w:szCs w:val="18"/>
              </w:rPr>
              <w:t>二、上年结转政府信息公开申请数量</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 w:hRule="atLeast"/>
        </w:trPr>
        <w:tc>
          <w:tcPr>
            <w:tcW w:w="480" w:type="dxa"/>
            <w:vMerge w:val="restart"/>
            <w:vAlign w:val="center"/>
          </w:tcPr>
          <w:p>
            <w:pPr>
              <w:jc w:val="left"/>
              <w:rPr>
                <w:sz w:val="18"/>
                <w:szCs w:val="18"/>
              </w:rPr>
            </w:pPr>
            <w:r>
              <w:rPr>
                <w:rFonts w:hint="eastAsia"/>
                <w:sz w:val="18"/>
                <w:szCs w:val="18"/>
              </w:rPr>
              <w:t>三、本年度办理结果</w:t>
            </w:r>
          </w:p>
        </w:tc>
        <w:tc>
          <w:tcPr>
            <w:tcW w:w="2820" w:type="dxa"/>
            <w:gridSpan w:val="2"/>
          </w:tcPr>
          <w:p>
            <w:pPr>
              <w:rPr>
                <w:sz w:val="18"/>
                <w:szCs w:val="18"/>
              </w:rPr>
            </w:pPr>
            <w:r>
              <w:rPr>
                <w:rFonts w:hint="eastAsia"/>
                <w:sz w:val="18"/>
                <w:szCs w:val="18"/>
              </w:rPr>
              <w:t>（一）予以公开</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0" w:type="dxa"/>
            <w:vMerge w:val="continue"/>
          </w:tcPr>
          <w:p>
            <w:pPr>
              <w:rPr>
                <w:sz w:val="18"/>
                <w:szCs w:val="18"/>
              </w:rPr>
            </w:pPr>
          </w:p>
        </w:tc>
        <w:tc>
          <w:tcPr>
            <w:tcW w:w="2820" w:type="dxa"/>
            <w:gridSpan w:val="2"/>
          </w:tcPr>
          <w:p>
            <w:pPr>
              <w:rPr>
                <w:sz w:val="18"/>
                <w:szCs w:val="18"/>
              </w:rPr>
            </w:pPr>
            <w:r>
              <w:rPr>
                <w:rFonts w:hint="eastAsia"/>
                <w:sz w:val="18"/>
                <w:szCs w:val="18"/>
              </w:rPr>
              <w:t>（二）部分公开（区分处理的），只计这一情形，不计其他情形</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80" w:type="dxa"/>
            <w:vMerge w:val="continue"/>
          </w:tcPr>
          <w:p>
            <w:pPr>
              <w:rPr>
                <w:sz w:val="18"/>
                <w:szCs w:val="18"/>
              </w:rPr>
            </w:pPr>
          </w:p>
        </w:tc>
        <w:tc>
          <w:tcPr>
            <w:tcW w:w="387" w:type="dxa"/>
            <w:vMerge w:val="restart"/>
            <w:vAlign w:val="center"/>
          </w:tcPr>
          <w:p>
            <w:pPr>
              <w:jc w:val="center"/>
              <w:rPr>
                <w:sz w:val="18"/>
                <w:szCs w:val="18"/>
              </w:rPr>
            </w:pPr>
            <w:r>
              <w:rPr>
                <w:rFonts w:hint="eastAsia"/>
                <w:sz w:val="18"/>
                <w:szCs w:val="18"/>
              </w:rPr>
              <w:t>（三）不予</w:t>
            </w:r>
          </w:p>
          <w:p>
            <w:pPr>
              <w:jc w:val="center"/>
              <w:rPr>
                <w:sz w:val="18"/>
                <w:szCs w:val="18"/>
              </w:rPr>
            </w:pPr>
            <w:r>
              <w:rPr>
                <w:rFonts w:hint="eastAsia"/>
                <w:sz w:val="18"/>
                <w:szCs w:val="18"/>
              </w:rPr>
              <w:t>公</w:t>
            </w:r>
          </w:p>
          <w:p>
            <w:pPr>
              <w:jc w:val="center"/>
              <w:rPr>
                <w:sz w:val="18"/>
                <w:szCs w:val="18"/>
              </w:rPr>
            </w:pPr>
            <w:r>
              <w:rPr>
                <w:rFonts w:hint="eastAsia"/>
                <w:sz w:val="18"/>
                <w:szCs w:val="18"/>
              </w:rPr>
              <w:t>开</w:t>
            </w:r>
          </w:p>
        </w:tc>
        <w:tc>
          <w:tcPr>
            <w:tcW w:w="2433" w:type="dxa"/>
            <w:vAlign w:val="center"/>
          </w:tcPr>
          <w:p>
            <w:pPr>
              <w:rPr>
                <w:sz w:val="18"/>
                <w:szCs w:val="18"/>
              </w:rPr>
            </w:pPr>
            <w:r>
              <w:rPr>
                <w:rFonts w:hint="eastAsia"/>
                <w:sz w:val="18"/>
                <w:szCs w:val="18"/>
              </w:rPr>
              <w:t>1、属于国家秘密</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2、其他法律行政法规禁止公开</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3、危及“三安全一稳定”</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4、保护第三方合法权益</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5、属于第三类内部事务信息</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6、属于四类过程性信息</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7、属于行政执法案卷</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8、属于行政查询事项</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80" w:type="dxa"/>
            <w:vMerge w:val="continue"/>
          </w:tcPr>
          <w:p>
            <w:pPr>
              <w:rPr>
                <w:sz w:val="18"/>
                <w:szCs w:val="18"/>
              </w:rPr>
            </w:pPr>
          </w:p>
        </w:tc>
        <w:tc>
          <w:tcPr>
            <w:tcW w:w="387" w:type="dxa"/>
            <w:vMerge w:val="restart"/>
            <w:vAlign w:val="center"/>
          </w:tcPr>
          <w:p>
            <w:pPr>
              <w:jc w:val="center"/>
              <w:rPr>
                <w:sz w:val="18"/>
                <w:szCs w:val="18"/>
              </w:rPr>
            </w:pPr>
            <w:r>
              <w:rPr>
                <w:rFonts w:hint="eastAsia"/>
                <w:sz w:val="18"/>
                <w:szCs w:val="18"/>
              </w:rPr>
              <w:t>（四）无法</w:t>
            </w:r>
          </w:p>
          <w:p>
            <w:pPr>
              <w:jc w:val="center"/>
              <w:rPr>
                <w:sz w:val="18"/>
                <w:szCs w:val="18"/>
              </w:rPr>
            </w:pPr>
            <w:r>
              <w:rPr>
                <w:rFonts w:hint="eastAsia"/>
                <w:sz w:val="18"/>
                <w:szCs w:val="18"/>
              </w:rPr>
              <w:t>提供</w:t>
            </w:r>
          </w:p>
        </w:tc>
        <w:tc>
          <w:tcPr>
            <w:tcW w:w="2433" w:type="dxa"/>
            <w:vAlign w:val="center"/>
          </w:tcPr>
          <w:p>
            <w:pPr>
              <w:rPr>
                <w:sz w:val="18"/>
                <w:szCs w:val="18"/>
              </w:rPr>
            </w:pPr>
            <w:r>
              <w:rPr>
                <w:rFonts w:hint="eastAsia"/>
                <w:sz w:val="18"/>
                <w:szCs w:val="18"/>
              </w:rPr>
              <w:t>1、本机关不掌握相关政府信息</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2、没有现成信息需要另行制作</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3、补正后申请内容仍不明确</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480" w:type="dxa"/>
            <w:vMerge w:val="continue"/>
          </w:tcPr>
          <w:p>
            <w:pPr>
              <w:rPr>
                <w:sz w:val="18"/>
                <w:szCs w:val="18"/>
              </w:rPr>
            </w:pPr>
          </w:p>
        </w:tc>
        <w:tc>
          <w:tcPr>
            <w:tcW w:w="387" w:type="dxa"/>
            <w:vMerge w:val="restart"/>
            <w:vAlign w:val="center"/>
          </w:tcPr>
          <w:p>
            <w:pPr>
              <w:jc w:val="center"/>
              <w:rPr>
                <w:sz w:val="18"/>
                <w:szCs w:val="18"/>
              </w:rPr>
            </w:pPr>
            <w:r>
              <w:rPr>
                <w:rFonts w:hint="eastAsia"/>
                <w:sz w:val="18"/>
                <w:szCs w:val="18"/>
              </w:rPr>
              <w:t>（五）</w:t>
            </w:r>
          </w:p>
          <w:p>
            <w:pPr>
              <w:jc w:val="center"/>
              <w:rPr>
                <w:sz w:val="18"/>
                <w:szCs w:val="18"/>
              </w:rPr>
            </w:pPr>
            <w:r>
              <w:rPr>
                <w:rFonts w:hint="eastAsia"/>
                <w:sz w:val="18"/>
                <w:szCs w:val="18"/>
              </w:rPr>
              <w:t>不予</w:t>
            </w:r>
          </w:p>
          <w:p>
            <w:pPr>
              <w:jc w:val="center"/>
              <w:rPr>
                <w:sz w:val="18"/>
                <w:szCs w:val="18"/>
              </w:rPr>
            </w:pPr>
            <w:r>
              <w:rPr>
                <w:rFonts w:hint="eastAsia"/>
                <w:sz w:val="18"/>
                <w:szCs w:val="18"/>
              </w:rPr>
              <w:t>公开</w:t>
            </w:r>
          </w:p>
        </w:tc>
        <w:tc>
          <w:tcPr>
            <w:tcW w:w="2433" w:type="dxa"/>
            <w:vAlign w:val="center"/>
          </w:tcPr>
          <w:p>
            <w:pPr>
              <w:rPr>
                <w:sz w:val="18"/>
                <w:szCs w:val="18"/>
              </w:rPr>
            </w:pPr>
            <w:r>
              <w:rPr>
                <w:rFonts w:hint="eastAsia"/>
                <w:sz w:val="18"/>
                <w:szCs w:val="18"/>
              </w:rPr>
              <w:t>1、信访举报投诉类申请</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9"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2、重复申请</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3、要求提供公开出版物</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8"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4、无正当理由大量反复申请</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480" w:type="dxa"/>
            <w:vMerge w:val="continue"/>
          </w:tcPr>
          <w:p>
            <w:pPr>
              <w:rPr>
                <w:sz w:val="18"/>
                <w:szCs w:val="18"/>
              </w:rPr>
            </w:pPr>
          </w:p>
        </w:tc>
        <w:tc>
          <w:tcPr>
            <w:tcW w:w="387" w:type="dxa"/>
            <w:vMerge w:val="continue"/>
            <w:vAlign w:val="center"/>
          </w:tcPr>
          <w:p>
            <w:pPr>
              <w:jc w:val="center"/>
              <w:rPr>
                <w:sz w:val="18"/>
                <w:szCs w:val="18"/>
              </w:rPr>
            </w:pPr>
          </w:p>
        </w:tc>
        <w:tc>
          <w:tcPr>
            <w:tcW w:w="2433" w:type="dxa"/>
            <w:vAlign w:val="center"/>
          </w:tcPr>
          <w:p>
            <w:pPr>
              <w:rPr>
                <w:sz w:val="18"/>
                <w:szCs w:val="18"/>
              </w:rPr>
            </w:pPr>
            <w:r>
              <w:rPr>
                <w:rFonts w:hint="eastAsia"/>
                <w:sz w:val="18"/>
                <w:szCs w:val="18"/>
              </w:rPr>
              <w:t>5、要求行政机关确认或新出具已获取信息</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0" w:hRule="atLeast"/>
        </w:trPr>
        <w:tc>
          <w:tcPr>
            <w:tcW w:w="480" w:type="dxa"/>
            <w:vMerge w:val="continue"/>
          </w:tcPr>
          <w:p>
            <w:pPr>
              <w:rPr>
                <w:sz w:val="18"/>
                <w:szCs w:val="18"/>
              </w:rPr>
            </w:pPr>
          </w:p>
        </w:tc>
        <w:tc>
          <w:tcPr>
            <w:tcW w:w="387" w:type="dxa"/>
            <w:vMerge w:val="restart"/>
            <w:vAlign w:val="center"/>
          </w:tcPr>
          <w:p>
            <w:pPr>
              <w:jc w:val="center"/>
              <w:rPr>
                <w:sz w:val="18"/>
                <w:szCs w:val="18"/>
              </w:rPr>
            </w:pPr>
            <w:r>
              <w:rPr>
                <w:rFonts w:hint="eastAsia"/>
                <w:sz w:val="18"/>
                <w:szCs w:val="18"/>
              </w:rPr>
              <w:t>（六）其他处理</w:t>
            </w:r>
          </w:p>
        </w:tc>
        <w:tc>
          <w:tcPr>
            <w:tcW w:w="2433" w:type="dxa"/>
            <w:vAlign w:val="center"/>
          </w:tcPr>
          <w:p>
            <w:pPr>
              <w:rPr>
                <w:sz w:val="18"/>
                <w:szCs w:val="18"/>
              </w:rPr>
            </w:pPr>
            <w:r>
              <w:rPr>
                <w:rFonts w:hint="eastAsia"/>
                <w:sz w:val="18"/>
                <w:szCs w:val="18"/>
              </w:rPr>
              <w:t>1.申请人无正当理由逾期不补正、行政机关不再处理其政府信息公开申请</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3" w:hRule="atLeast"/>
        </w:trPr>
        <w:tc>
          <w:tcPr>
            <w:tcW w:w="480" w:type="dxa"/>
            <w:vMerge w:val="continue"/>
          </w:tcPr>
          <w:p>
            <w:pPr>
              <w:rPr>
                <w:sz w:val="18"/>
                <w:szCs w:val="18"/>
              </w:rPr>
            </w:pPr>
          </w:p>
        </w:tc>
        <w:tc>
          <w:tcPr>
            <w:tcW w:w="387" w:type="dxa"/>
            <w:vMerge w:val="continue"/>
          </w:tcPr>
          <w:p>
            <w:pPr>
              <w:rPr>
                <w:sz w:val="18"/>
                <w:szCs w:val="18"/>
              </w:rPr>
            </w:pPr>
          </w:p>
        </w:tc>
        <w:tc>
          <w:tcPr>
            <w:tcW w:w="2433" w:type="dxa"/>
            <w:vAlign w:val="center"/>
          </w:tcPr>
          <w:p>
            <w:pPr>
              <w:rPr>
                <w:sz w:val="18"/>
                <w:szCs w:val="18"/>
              </w:rPr>
            </w:pPr>
            <w:r>
              <w:rPr>
                <w:rFonts w:hint="eastAsia"/>
                <w:sz w:val="18"/>
                <w:szCs w:val="18"/>
              </w:rPr>
              <w:t>2.申请人逾期未按收费通知要求缴纳费用、行政机关不再处理其政府信息公开申请</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3" w:hRule="atLeast"/>
        </w:trPr>
        <w:tc>
          <w:tcPr>
            <w:tcW w:w="480" w:type="dxa"/>
            <w:vMerge w:val="continue"/>
          </w:tcPr>
          <w:p>
            <w:pPr>
              <w:rPr>
                <w:sz w:val="18"/>
                <w:szCs w:val="18"/>
              </w:rPr>
            </w:pPr>
          </w:p>
        </w:tc>
        <w:tc>
          <w:tcPr>
            <w:tcW w:w="387" w:type="dxa"/>
            <w:vMerge w:val="continue"/>
          </w:tcPr>
          <w:p>
            <w:pPr>
              <w:rPr>
                <w:sz w:val="18"/>
                <w:szCs w:val="18"/>
              </w:rPr>
            </w:pPr>
          </w:p>
        </w:tc>
        <w:tc>
          <w:tcPr>
            <w:tcW w:w="2433" w:type="dxa"/>
            <w:vAlign w:val="center"/>
          </w:tcPr>
          <w:p>
            <w:pPr>
              <w:rPr>
                <w:sz w:val="18"/>
                <w:szCs w:val="18"/>
              </w:rPr>
            </w:pPr>
            <w:r>
              <w:rPr>
                <w:rFonts w:hint="eastAsia"/>
                <w:sz w:val="18"/>
                <w:szCs w:val="18"/>
              </w:rPr>
              <w:t>3.其他</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480" w:type="dxa"/>
            <w:vMerge w:val="continue"/>
          </w:tcPr>
          <w:p>
            <w:pPr>
              <w:rPr>
                <w:sz w:val="18"/>
                <w:szCs w:val="18"/>
              </w:rPr>
            </w:pPr>
          </w:p>
        </w:tc>
        <w:tc>
          <w:tcPr>
            <w:tcW w:w="2820" w:type="dxa"/>
            <w:gridSpan w:val="2"/>
          </w:tcPr>
          <w:p>
            <w:pPr>
              <w:rPr>
                <w:sz w:val="18"/>
                <w:szCs w:val="18"/>
              </w:rPr>
            </w:pPr>
            <w:r>
              <w:rPr>
                <w:rFonts w:hint="eastAsia"/>
                <w:sz w:val="18"/>
                <w:szCs w:val="18"/>
              </w:rPr>
              <w:t>（七）总计</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300" w:type="dxa"/>
            <w:gridSpan w:val="3"/>
            <w:vAlign w:val="center"/>
          </w:tcPr>
          <w:p>
            <w:pPr>
              <w:rPr>
                <w:sz w:val="18"/>
                <w:szCs w:val="18"/>
              </w:rPr>
            </w:pPr>
            <w:r>
              <w:rPr>
                <w:rFonts w:hint="eastAsia"/>
                <w:sz w:val="18"/>
                <w:szCs w:val="18"/>
              </w:rPr>
              <w:t>四、结转下年度继续办理</w:t>
            </w:r>
          </w:p>
        </w:tc>
        <w:tc>
          <w:tcPr>
            <w:tcW w:w="540" w:type="dxa"/>
            <w:vAlign w:val="center"/>
          </w:tcPr>
          <w:p>
            <w:pPr>
              <w:jc w:val="center"/>
              <w:rPr>
                <w:sz w:val="18"/>
                <w:szCs w:val="18"/>
              </w:rPr>
            </w:pPr>
            <w:r>
              <w:rPr>
                <w:rFonts w:hint="eastAsia"/>
                <w:sz w:val="18"/>
                <w:szCs w:val="18"/>
              </w:rPr>
              <w:t>0</w:t>
            </w:r>
          </w:p>
        </w:tc>
        <w:tc>
          <w:tcPr>
            <w:tcW w:w="885" w:type="dxa"/>
            <w:vAlign w:val="center"/>
          </w:tcPr>
          <w:p>
            <w:pPr>
              <w:jc w:val="center"/>
              <w:rPr>
                <w:sz w:val="18"/>
                <w:szCs w:val="18"/>
              </w:rPr>
            </w:pPr>
            <w:r>
              <w:rPr>
                <w:rFonts w:hint="eastAsia"/>
                <w:sz w:val="18"/>
                <w:szCs w:val="18"/>
              </w:rPr>
              <w:t>0</w:t>
            </w:r>
          </w:p>
        </w:tc>
        <w:tc>
          <w:tcPr>
            <w:tcW w:w="720" w:type="dxa"/>
            <w:vAlign w:val="center"/>
          </w:tcPr>
          <w:p>
            <w:pPr>
              <w:jc w:val="center"/>
              <w:rPr>
                <w:sz w:val="18"/>
                <w:szCs w:val="18"/>
              </w:rPr>
            </w:pPr>
            <w:r>
              <w:rPr>
                <w:rFonts w:hint="eastAsia"/>
                <w:sz w:val="18"/>
                <w:szCs w:val="18"/>
              </w:rPr>
              <w:t>0</w:t>
            </w:r>
          </w:p>
        </w:tc>
        <w:tc>
          <w:tcPr>
            <w:tcW w:w="870" w:type="dxa"/>
            <w:vAlign w:val="center"/>
          </w:tcPr>
          <w:p>
            <w:pPr>
              <w:jc w:val="center"/>
              <w:rPr>
                <w:sz w:val="18"/>
                <w:szCs w:val="18"/>
              </w:rPr>
            </w:pPr>
            <w:r>
              <w:rPr>
                <w:rFonts w:hint="eastAsia"/>
                <w:sz w:val="18"/>
                <w:szCs w:val="18"/>
              </w:rPr>
              <w:t>0</w:t>
            </w:r>
          </w:p>
        </w:tc>
        <w:tc>
          <w:tcPr>
            <w:tcW w:w="79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c>
          <w:tcPr>
            <w:tcW w:w="555" w:type="dxa"/>
            <w:vAlign w:val="center"/>
          </w:tcPr>
          <w:p>
            <w:pPr>
              <w:jc w:val="center"/>
              <w:rPr>
                <w:sz w:val="18"/>
                <w:szCs w:val="18"/>
              </w:rPr>
            </w:pPr>
            <w:r>
              <w:rPr>
                <w:rFonts w:hint="eastAsia"/>
                <w:sz w:val="18"/>
                <w:szCs w:val="18"/>
              </w:rPr>
              <w:t>0</w:t>
            </w:r>
          </w:p>
        </w:tc>
      </w:tr>
    </w:tbl>
    <w:p/>
    <w:p>
      <w:pPr>
        <w:rPr>
          <w:rFonts w:ascii="黑体" w:hAnsi="黑体" w:eastAsia="黑体"/>
          <w:sz w:val="28"/>
          <w:szCs w:val="28"/>
        </w:rPr>
      </w:pPr>
      <w:r>
        <w:rPr>
          <w:rFonts w:hint="eastAsia" w:ascii="黑体" w:hAnsi="黑体" w:eastAsia="黑体"/>
          <w:sz w:val="28"/>
          <w:szCs w:val="28"/>
        </w:rPr>
        <w:t>四、政府信息公开行政复议、行政诉讼情况</w:t>
      </w:r>
    </w:p>
    <w:tbl>
      <w:tblPr>
        <w:tblStyle w:val="6"/>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9"/>
        <w:gridCol w:w="569"/>
        <w:gridCol w:w="568"/>
        <w:gridCol w:w="568"/>
        <w:gridCol w:w="568"/>
        <w:gridCol w:w="568"/>
        <w:gridCol w:w="568"/>
        <w:gridCol w:w="568"/>
        <w:gridCol w:w="568"/>
        <w:gridCol w:w="568"/>
        <w:gridCol w:w="568"/>
        <w:gridCol w:w="568"/>
        <w:gridCol w:w="568"/>
        <w:gridCol w:w="568"/>
        <w:gridCol w:w="5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2" w:type="dxa"/>
            <w:gridSpan w:val="5"/>
            <w:vAlign w:val="center"/>
          </w:tcPr>
          <w:p>
            <w:pPr>
              <w:jc w:val="center"/>
            </w:pPr>
            <w:r>
              <w:rPr>
                <w:rFonts w:hint="eastAsia"/>
              </w:rPr>
              <w:t>行政复议</w:t>
            </w:r>
          </w:p>
        </w:tc>
        <w:tc>
          <w:tcPr>
            <w:tcW w:w="5680" w:type="dxa"/>
            <w:gridSpan w:val="10"/>
            <w:vAlign w:val="center"/>
          </w:tcPr>
          <w:p>
            <w:pPr>
              <w:jc w:val="center"/>
            </w:pPr>
            <w:r>
              <w:rPr>
                <w:rFonts w:hint="eastAsia"/>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restart"/>
            <w:vAlign w:val="center"/>
          </w:tcPr>
          <w:p>
            <w:pPr>
              <w:jc w:val="center"/>
              <w:rPr>
                <w:sz w:val="18"/>
                <w:szCs w:val="18"/>
              </w:rPr>
            </w:pPr>
            <w:r>
              <w:rPr>
                <w:rFonts w:hint="eastAsia"/>
                <w:sz w:val="18"/>
                <w:szCs w:val="18"/>
              </w:rPr>
              <w:t>结果维持</w:t>
            </w:r>
          </w:p>
        </w:tc>
        <w:tc>
          <w:tcPr>
            <w:tcW w:w="569" w:type="dxa"/>
            <w:vMerge w:val="restart"/>
            <w:vAlign w:val="center"/>
          </w:tcPr>
          <w:p>
            <w:pPr>
              <w:jc w:val="center"/>
              <w:rPr>
                <w:sz w:val="18"/>
                <w:szCs w:val="18"/>
              </w:rPr>
            </w:pPr>
            <w:r>
              <w:rPr>
                <w:rFonts w:hint="eastAsia"/>
                <w:sz w:val="18"/>
                <w:szCs w:val="18"/>
              </w:rPr>
              <w:t>结果纠正</w:t>
            </w:r>
          </w:p>
        </w:tc>
        <w:tc>
          <w:tcPr>
            <w:tcW w:w="568" w:type="dxa"/>
            <w:vMerge w:val="restart"/>
            <w:vAlign w:val="center"/>
          </w:tcPr>
          <w:p>
            <w:pPr>
              <w:jc w:val="center"/>
              <w:rPr>
                <w:sz w:val="18"/>
                <w:szCs w:val="18"/>
              </w:rPr>
            </w:pPr>
            <w:r>
              <w:rPr>
                <w:rFonts w:hint="eastAsia"/>
                <w:sz w:val="18"/>
                <w:szCs w:val="18"/>
              </w:rPr>
              <w:t>其他结果</w:t>
            </w:r>
          </w:p>
        </w:tc>
        <w:tc>
          <w:tcPr>
            <w:tcW w:w="568" w:type="dxa"/>
            <w:vMerge w:val="restart"/>
            <w:vAlign w:val="center"/>
          </w:tcPr>
          <w:p>
            <w:pPr>
              <w:jc w:val="center"/>
              <w:rPr>
                <w:sz w:val="18"/>
                <w:szCs w:val="18"/>
              </w:rPr>
            </w:pPr>
            <w:r>
              <w:rPr>
                <w:rFonts w:hint="eastAsia"/>
                <w:sz w:val="18"/>
                <w:szCs w:val="18"/>
              </w:rPr>
              <w:t>尚未审结</w:t>
            </w:r>
          </w:p>
        </w:tc>
        <w:tc>
          <w:tcPr>
            <w:tcW w:w="568" w:type="dxa"/>
            <w:vMerge w:val="restart"/>
            <w:vAlign w:val="center"/>
          </w:tcPr>
          <w:p>
            <w:pPr>
              <w:jc w:val="center"/>
              <w:rPr>
                <w:sz w:val="18"/>
                <w:szCs w:val="18"/>
              </w:rPr>
            </w:pPr>
            <w:r>
              <w:rPr>
                <w:rFonts w:hint="eastAsia"/>
                <w:sz w:val="18"/>
                <w:szCs w:val="18"/>
              </w:rPr>
              <w:t>总计</w:t>
            </w:r>
          </w:p>
        </w:tc>
        <w:tc>
          <w:tcPr>
            <w:tcW w:w="2840" w:type="dxa"/>
            <w:gridSpan w:val="5"/>
            <w:vAlign w:val="center"/>
          </w:tcPr>
          <w:p>
            <w:pPr>
              <w:jc w:val="center"/>
            </w:pPr>
            <w:r>
              <w:rPr>
                <w:rFonts w:hint="eastAsia"/>
              </w:rPr>
              <w:t>未经复议直接起诉</w:t>
            </w:r>
          </w:p>
        </w:tc>
        <w:tc>
          <w:tcPr>
            <w:tcW w:w="2840" w:type="dxa"/>
            <w:gridSpan w:val="5"/>
            <w:vAlign w:val="center"/>
          </w:tcPr>
          <w:p>
            <w:pPr>
              <w:jc w:val="center"/>
            </w:pPr>
            <w:r>
              <w:rPr>
                <w:rFonts w:hint="eastAsia"/>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9" w:type="dxa"/>
            <w:vMerge w:val="continue"/>
          </w:tcPr>
          <w:p/>
        </w:tc>
        <w:tc>
          <w:tcPr>
            <w:tcW w:w="569" w:type="dxa"/>
            <w:vMerge w:val="continue"/>
          </w:tcPr>
          <w:p/>
        </w:tc>
        <w:tc>
          <w:tcPr>
            <w:tcW w:w="568" w:type="dxa"/>
            <w:vMerge w:val="continue"/>
          </w:tcPr>
          <w:p/>
        </w:tc>
        <w:tc>
          <w:tcPr>
            <w:tcW w:w="568" w:type="dxa"/>
            <w:vMerge w:val="continue"/>
          </w:tcPr>
          <w:p/>
        </w:tc>
        <w:tc>
          <w:tcPr>
            <w:tcW w:w="568" w:type="dxa"/>
            <w:vMerge w:val="continue"/>
          </w:tcPr>
          <w:p/>
        </w:tc>
        <w:tc>
          <w:tcPr>
            <w:tcW w:w="568" w:type="dxa"/>
            <w:vAlign w:val="center"/>
          </w:tcPr>
          <w:p>
            <w:pPr>
              <w:jc w:val="center"/>
              <w:rPr>
                <w:sz w:val="18"/>
                <w:szCs w:val="18"/>
              </w:rPr>
            </w:pPr>
            <w:r>
              <w:rPr>
                <w:rFonts w:hint="eastAsia"/>
                <w:sz w:val="18"/>
                <w:szCs w:val="18"/>
              </w:rPr>
              <w:t>结果维持</w:t>
            </w:r>
          </w:p>
        </w:tc>
        <w:tc>
          <w:tcPr>
            <w:tcW w:w="568" w:type="dxa"/>
            <w:vAlign w:val="center"/>
          </w:tcPr>
          <w:p>
            <w:pPr>
              <w:jc w:val="center"/>
              <w:rPr>
                <w:sz w:val="18"/>
                <w:szCs w:val="18"/>
              </w:rPr>
            </w:pPr>
            <w:r>
              <w:rPr>
                <w:rFonts w:hint="eastAsia"/>
                <w:sz w:val="18"/>
                <w:szCs w:val="18"/>
              </w:rPr>
              <w:t>结果纠正</w:t>
            </w:r>
          </w:p>
        </w:tc>
        <w:tc>
          <w:tcPr>
            <w:tcW w:w="568" w:type="dxa"/>
            <w:vAlign w:val="center"/>
          </w:tcPr>
          <w:p>
            <w:pPr>
              <w:jc w:val="center"/>
              <w:rPr>
                <w:sz w:val="18"/>
                <w:szCs w:val="18"/>
              </w:rPr>
            </w:pPr>
            <w:r>
              <w:rPr>
                <w:rFonts w:hint="eastAsia"/>
                <w:sz w:val="18"/>
                <w:szCs w:val="18"/>
              </w:rPr>
              <w:t>其他结果</w:t>
            </w:r>
          </w:p>
        </w:tc>
        <w:tc>
          <w:tcPr>
            <w:tcW w:w="568" w:type="dxa"/>
            <w:vAlign w:val="center"/>
          </w:tcPr>
          <w:p>
            <w:pPr>
              <w:jc w:val="center"/>
              <w:rPr>
                <w:sz w:val="18"/>
                <w:szCs w:val="18"/>
              </w:rPr>
            </w:pPr>
            <w:r>
              <w:rPr>
                <w:rFonts w:hint="eastAsia"/>
                <w:sz w:val="18"/>
                <w:szCs w:val="18"/>
              </w:rPr>
              <w:t>尚未审结</w:t>
            </w:r>
          </w:p>
        </w:tc>
        <w:tc>
          <w:tcPr>
            <w:tcW w:w="568" w:type="dxa"/>
            <w:vAlign w:val="center"/>
          </w:tcPr>
          <w:p>
            <w:pPr>
              <w:jc w:val="center"/>
              <w:rPr>
                <w:sz w:val="18"/>
                <w:szCs w:val="18"/>
              </w:rPr>
            </w:pPr>
            <w:r>
              <w:rPr>
                <w:rFonts w:hint="eastAsia"/>
                <w:sz w:val="18"/>
                <w:szCs w:val="18"/>
              </w:rPr>
              <w:t>总计</w:t>
            </w:r>
          </w:p>
        </w:tc>
        <w:tc>
          <w:tcPr>
            <w:tcW w:w="568" w:type="dxa"/>
            <w:vAlign w:val="center"/>
          </w:tcPr>
          <w:p>
            <w:pPr>
              <w:jc w:val="center"/>
              <w:rPr>
                <w:sz w:val="18"/>
                <w:szCs w:val="18"/>
              </w:rPr>
            </w:pPr>
            <w:r>
              <w:rPr>
                <w:rFonts w:hint="eastAsia"/>
                <w:sz w:val="18"/>
                <w:szCs w:val="18"/>
              </w:rPr>
              <w:t>结果维持</w:t>
            </w:r>
          </w:p>
        </w:tc>
        <w:tc>
          <w:tcPr>
            <w:tcW w:w="568" w:type="dxa"/>
            <w:vAlign w:val="center"/>
          </w:tcPr>
          <w:p>
            <w:pPr>
              <w:jc w:val="center"/>
              <w:rPr>
                <w:sz w:val="18"/>
                <w:szCs w:val="18"/>
              </w:rPr>
            </w:pPr>
            <w:r>
              <w:rPr>
                <w:rFonts w:hint="eastAsia"/>
                <w:sz w:val="18"/>
                <w:szCs w:val="18"/>
              </w:rPr>
              <w:t>结果纠正</w:t>
            </w:r>
          </w:p>
        </w:tc>
        <w:tc>
          <w:tcPr>
            <w:tcW w:w="568" w:type="dxa"/>
            <w:vAlign w:val="center"/>
          </w:tcPr>
          <w:p>
            <w:pPr>
              <w:jc w:val="center"/>
              <w:rPr>
                <w:sz w:val="18"/>
                <w:szCs w:val="18"/>
              </w:rPr>
            </w:pPr>
            <w:r>
              <w:rPr>
                <w:rFonts w:hint="eastAsia"/>
                <w:sz w:val="18"/>
                <w:szCs w:val="18"/>
              </w:rPr>
              <w:t>其他结果</w:t>
            </w:r>
          </w:p>
        </w:tc>
        <w:tc>
          <w:tcPr>
            <w:tcW w:w="568" w:type="dxa"/>
            <w:vAlign w:val="center"/>
          </w:tcPr>
          <w:p>
            <w:pPr>
              <w:jc w:val="center"/>
              <w:rPr>
                <w:sz w:val="18"/>
                <w:szCs w:val="18"/>
              </w:rPr>
            </w:pPr>
            <w:r>
              <w:rPr>
                <w:rFonts w:hint="eastAsia"/>
                <w:sz w:val="18"/>
                <w:szCs w:val="18"/>
              </w:rPr>
              <w:t>尚未审结</w:t>
            </w:r>
          </w:p>
        </w:tc>
        <w:tc>
          <w:tcPr>
            <w:tcW w:w="568" w:type="dxa"/>
            <w:vAlign w:val="center"/>
          </w:tcPr>
          <w:p>
            <w:pPr>
              <w:jc w:val="center"/>
              <w:rPr>
                <w:sz w:val="18"/>
                <w:szCs w:val="18"/>
              </w:rPr>
            </w:pPr>
            <w:r>
              <w:rPr>
                <w:rFonts w:hint="eastAsia"/>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0" w:hRule="atLeast"/>
        </w:trPr>
        <w:tc>
          <w:tcPr>
            <w:tcW w:w="569" w:type="dxa"/>
            <w:vAlign w:val="center"/>
          </w:tcPr>
          <w:p>
            <w:pPr>
              <w:jc w:val="center"/>
            </w:pPr>
            <w:r>
              <w:rPr>
                <w:rFonts w:hint="eastAsia"/>
              </w:rPr>
              <w:t>0</w:t>
            </w:r>
          </w:p>
        </w:tc>
        <w:tc>
          <w:tcPr>
            <w:tcW w:w="569"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c>
          <w:tcPr>
            <w:tcW w:w="568" w:type="dxa"/>
            <w:vAlign w:val="center"/>
          </w:tcPr>
          <w:p>
            <w:pPr>
              <w:jc w:val="center"/>
            </w:pPr>
            <w:r>
              <w:rPr>
                <w:rFonts w:hint="eastAsia"/>
              </w:rPr>
              <w:t>0</w:t>
            </w:r>
          </w:p>
        </w:tc>
      </w:tr>
    </w:tbl>
    <w:p>
      <w:pPr>
        <w:rPr>
          <w:rFonts w:ascii="黑体" w:hAnsi="黑体" w:eastAsia="黑体"/>
          <w:sz w:val="28"/>
          <w:szCs w:val="28"/>
        </w:rPr>
      </w:pPr>
      <w:r>
        <w:rPr>
          <w:rFonts w:hint="eastAsia" w:ascii="黑体" w:hAnsi="黑体" w:eastAsia="黑体"/>
          <w:sz w:val="28"/>
          <w:szCs w:val="28"/>
        </w:rPr>
        <w:t>五、存在的主要问题及改进情况</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atLeast"/>
        <w:ind w:left="0" w:right="0" w:firstLine="640" w:firstLineChars="200"/>
        <w:jc w:val="left"/>
      </w:pPr>
      <w:r>
        <w:rPr>
          <w:rFonts w:ascii="仿宋" w:hAnsi="仿宋" w:eastAsia="仿宋" w:cs="仿宋"/>
          <w:i w:val="0"/>
          <w:iCs w:val="0"/>
          <w:caps w:val="0"/>
          <w:color w:val="333333"/>
          <w:spacing w:val="0"/>
          <w:kern w:val="0"/>
          <w:sz w:val="32"/>
          <w:szCs w:val="32"/>
          <w:bdr w:val="none" w:color="auto" w:sz="0" w:space="0"/>
          <w:shd w:val="clear" w:fill="FFFFFF"/>
          <w:lang w:val="en-US" w:eastAsia="zh-CN" w:bidi="ar"/>
        </w:rPr>
        <w:t>2</w:t>
      </w:r>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021年我委政府信息公开工作存在的主要问题：一是主动公开信息数量不够大，信息公开范围需进一步扩大，二是对政府信息公开的作用和要求认识还有待提高，准确把握公开内容，提高公开内容质量；三是工作人员之间的沟通协调和联动性有待加强，应及时和全面的提供公开的信息内容，保质保量改进政府信息公开工作，下一步我委将提高认识，规范管理，</w:t>
      </w:r>
      <w:bookmarkStart w:id="0" w:name="_GoBack"/>
      <w:bookmarkEnd w:id="0"/>
      <w:r>
        <w:rPr>
          <w:rFonts w:hint="eastAsia" w:ascii="仿宋" w:hAnsi="仿宋" w:eastAsia="仿宋" w:cs="仿宋"/>
          <w:i w:val="0"/>
          <w:iCs w:val="0"/>
          <w:caps w:val="0"/>
          <w:color w:val="333333"/>
          <w:spacing w:val="0"/>
          <w:kern w:val="0"/>
          <w:sz w:val="32"/>
          <w:szCs w:val="32"/>
          <w:bdr w:val="none" w:color="auto" w:sz="0" w:space="0"/>
          <w:shd w:val="clear" w:fill="FFFFFF"/>
          <w:lang w:val="en-US" w:eastAsia="zh-CN" w:bidi="ar"/>
        </w:rPr>
        <w:t>转变思想观念，不断提高信息公开意识。</w:t>
      </w:r>
    </w:p>
    <w:p>
      <w:pPr>
        <w:rPr>
          <w:rFonts w:ascii="黑体" w:hAnsi="黑体" w:eastAsia="黑体"/>
          <w:sz w:val="28"/>
          <w:szCs w:val="28"/>
        </w:rPr>
      </w:pPr>
      <w:r>
        <w:rPr>
          <w:rFonts w:hint="eastAsia" w:ascii="黑体" w:hAnsi="黑体" w:eastAsia="黑体"/>
          <w:sz w:val="28"/>
          <w:szCs w:val="28"/>
        </w:rPr>
        <w:t>六、其他需要报告的事项</w:t>
      </w:r>
    </w:p>
    <w:p>
      <w:pPr>
        <w:ind w:firstLine="640" w:firstLineChars="200"/>
        <w:rPr>
          <w:rFonts w:ascii="仿宋" w:hAnsi="仿宋" w:eastAsia="仿宋" w:cs="仿宋"/>
          <w:sz w:val="32"/>
          <w:szCs w:val="32"/>
        </w:rPr>
      </w:pPr>
      <w:r>
        <w:rPr>
          <w:rFonts w:hint="eastAsia" w:ascii="仿宋" w:hAnsi="仿宋" w:eastAsia="仿宋" w:cs="仿宋"/>
          <w:sz w:val="32"/>
          <w:szCs w:val="32"/>
        </w:rPr>
        <w:t>无其他需要报告的事项。</w:t>
      </w:r>
    </w:p>
    <w:p/>
    <w:p>
      <w:pPr>
        <w:pStyle w:val="2"/>
      </w:pPr>
    </w:p>
    <w:p>
      <w:pPr>
        <w:pStyle w:val="2"/>
      </w:pPr>
    </w:p>
    <w:p>
      <w:pPr>
        <w:pStyle w:val="2"/>
      </w:pPr>
    </w:p>
    <w:p>
      <w:pPr>
        <w:pStyle w:val="2"/>
      </w:pPr>
    </w:p>
    <w:p>
      <w:pPr>
        <w:widowControl/>
        <w:wordWrap w:val="0"/>
        <w:spacing w:line="600" w:lineRule="atLeast"/>
        <w:ind w:firstLine="2240" w:firstLineChars="700"/>
        <w:jc w:val="both"/>
        <w:rPr>
          <w:rFonts w:ascii="仿宋" w:hAnsi="仿宋" w:eastAsia="仿宋" w:cs="仿宋"/>
          <w:sz w:val="32"/>
          <w:szCs w:val="32"/>
        </w:rPr>
      </w:pPr>
      <w:r>
        <w:rPr>
          <w:rFonts w:hint="eastAsia" w:ascii="仿宋" w:hAnsi="仿宋" w:eastAsia="仿宋" w:cs="仿宋"/>
          <w:color w:val="333333"/>
          <w:kern w:val="0"/>
          <w:sz w:val="32"/>
          <w:szCs w:val="32"/>
          <w:shd w:val="clear" w:color="auto" w:fill="FFFFFF"/>
        </w:rPr>
        <w:t xml:space="preserve">            丰城市发展和改革委员会</w:t>
      </w:r>
    </w:p>
    <w:p>
      <w:pPr>
        <w:widowControl/>
        <w:wordWrap w:val="0"/>
        <w:spacing w:line="600" w:lineRule="atLeast"/>
        <w:ind w:firstLine="800"/>
        <w:jc w:val="center"/>
      </w:pPr>
      <w:r>
        <w:rPr>
          <w:rFonts w:hint="eastAsia" w:ascii="仿宋" w:hAnsi="仿宋" w:eastAsia="仿宋" w:cs="仿宋"/>
          <w:color w:val="333333"/>
          <w:kern w:val="0"/>
          <w:sz w:val="32"/>
          <w:szCs w:val="32"/>
          <w:shd w:val="clear" w:color="auto" w:fill="FFFFFF"/>
        </w:rPr>
        <w:t>                     </w:t>
      </w:r>
      <w:r>
        <w:rPr>
          <w:rFonts w:hint="eastAsia" w:ascii="仿宋" w:hAnsi="仿宋" w:eastAsia="仿宋" w:cs="仿宋"/>
          <w:color w:val="333333"/>
          <w:kern w:val="0"/>
          <w:sz w:val="32"/>
          <w:szCs w:val="32"/>
          <w:shd w:val="clear" w:color="auto" w:fill="FFFFFF"/>
          <w:lang w:val="en-US" w:eastAsia="zh-CN"/>
        </w:rPr>
        <w:t xml:space="preserve">    </w:t>
      </w:r>
      <w:r>
        <w:rPr>
          <w:rFonts w:hint="eastAsia" w:ascii="仿宋" w:hAnsi="仿宋" w:eastAsia="仿宋" w:cs="仿宋"/>
          <w:color w:val="333333"/>
          <w:kern w:val="0"/>
          <w:sz w:val="32"/>
          <w:szCs w:val="32"/>
          <w:shd w:val="clear" w:color="auto" w:fill="FFFFFF"/>
        </w:rPr>
        <w:t>2022年1月15日</w:t>
      </w:r>
    </w:p>
    <w:p/>
    <w:sectPr>
      <w:footerReference r:id="rId3" w:type="default"/>
      <w:pgSz w:w="11906" w:h="16838"/>
      <w:pgMar w:top="1440" w:right="1701" w:bottom="1440" w:left="1701"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6" o:spid="_x0000_s1026" o:spt="202" type="#_x0000_t202" style="position:absolute;left:0pt;margin-left:383.9pt;margin-top:-12.7pt;height:23.1pt;width:39.8pt;mso-position-horizontal-relative:margin;z-index:251659264;mso-width-relative:page;mso-height-relative:page;" filled="f" stroked="f" coordsize="21600,21600" o:gfxdata="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ww0l1NoAAAAK&#10;AQAADwAAAAAAAAABACAAAAAiAAAAZHJzL2Rvd25yZXYueG1sUEsBAhQAFAAAAAgAh07iQMBFoM6o&#10;AQAALAMAAA4AAAAAAAAAAQAgAAAAKQEAAGRycy9lMm9Eb2MueG1sUEsFBgAAAAAGAAYAWQEAAEMF&#10;AAAAAA==&#10;">
          <v:path/>
          <v:fill on="f" focussize="0,0"/>
          <v:stroke on="f" joinstyle="miter"/>
          <v:imagedata o:title=""/>
          <o:lock v:ext="edit"/>
          <v:textbox inset="0mm,0mm,0mm,0mm">
            <w:txbxContent>
              <w:p>
                <w:pPr>
                  <w:pStyle w:val="3"/>
                  <w:jc w:val="center"/>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1</w:t>
                </w:r>
                <w:r>
                  <w:rPr>
                    <w:rFonts w:hint="eastAsia" w:ascii="宋体" w:hAnsi="宋体" w:cs="宋体"/>
                    <w:sz w:val="28"/>
                    <w:szCs w:val="28"/>
                    <w:lang w:val="zh-CN"/>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MmQxODUyYzczNzM4MzJjMzVlM2U4MmZlM2IwOGFjNTIifQ=="/>
  </w:docVars>
  <w:rsids>
    <w:rsidRoot w:val="00FF48D7"/>
    <w:rsid w:val="002175F8"/>
    <w:rsid w:val="005A213E"/>
    <w:rsid w:val="00FF48D7"/>
    <w:rsid w:val="13A72245"/>
    <w:rsid w:val="1E0A4C38"/>
    <w:rsid w:val="22804713"/>
    <w:rsid w:val="27B16E5E"/>
    <w:rsid w:val="312251C4"/>
    <w:rsid w:val="4537013E"/>
    <w:rsid w:val="45435142"/>
    <w:rsid w:val="490B41C9"/>
    <w:rsid w:val="4BD44D46"/>
    <w:rsid w:val="59182D30"/>
    <w:rsid w:val="5B5957D2"/>
    <w:rsid w:val="6094115A"/>
    <w:rsid w:val="67ED2D84"/>
    <w:rsid w:val="6BAA01FA"/>
    <w:rsid w:val="6F144EED"/>
    <w:rsid w:val="77DC78D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7">
    <w:name w:val="Default Paragraph Font"/>
    <w:unhideWhenUsed/>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customStyle="1" w:styleId="2">
    <w:name w:val="BodyText1I2"/>
    <w:basedOn w:val="1"/>
    <w:qFormat/>
    <w:uiPriority w:val="0"/>
    <w:pPr>
      <w:ind w:left="420" w:leftChars="200" w:firstLine="210"/>
    </w:p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kern w:val="0"/>
      <w:sz w:val="24"/>
    </w:rPr>
  </w:style>
  <w:style w:type="character" w:styleId="8">
    <w:name w:val="Strong"/>
    <w:basedOn w:val="7"/>
    <w:qFormat/>
    <w:uiPriority w:val="0"/>
    <w:rPr>
      <w:b/>
    </w:rPr>
  </w:style>
  <w:style w:type="character" w:styleId="9">
    <w:name w:val="FollowedHyperlink"/>
    <w:basedOn w:val="7"/>
    <w:uiPriority w:val="0"/>
    <w:rPr>
      <w:color w:val="333333"/>
      <w:u w:val="none"/>
    </w:rPr>
  </w:style>
  <w:style w:type="character" w:styleId="10">
    <w:name w:val="Hyperlink"/>
    <w:basedOn w:val="7"/>
    <w:qFormat/>
    <w:uiPriority w:val="0"/>
    <w:rPr>
      <w:color w:val="333333"/>
      <w:u w:val="none"/>
    </w:rPr>
  </w:style>
  <w:style w:type="character" w:customStyle="1" w:styleId="11">
    <w:name w:val="页眉 Char"/>
    <w:basedOn w:val="7"/>
    <w:link w:val="4"/>
    <w:qFormat/>
    <w:uiPriority w:val="0"/>
    <w:rPr>
      <w:rFonts w:ascii="Times New Roman" w:hAnsi="Times New Roman" w:eastAsia="宋体" w:cs="Times New Roman"/>
      <w:kern w:val="2"/>
      <w:sz w:val="18"/>
      <w:szCs w:val="18"/>
    </w:rPr>
  </w:style>
  <w:style w:type="character" w:customStyle="1" w:styleId="12">
    <w:name w:val="hover"/>
    <w:basedOn w:val="7"/>
    <w:uiPriority w:val="0"/>
    <w:rPr>
      <w:shd w:val="clear" w:fill="929292"/>
    </w:rPr>
  </w:style>
  <w:style w:type="character" w:customStyle="1" w:styleId="13">
    <w:name w:val="article-icon"/>
    <w:basedOn w:val="7"/>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1726</Words>
  <Characters>1843</Characters>
  <Lines>16</Lines>
  <Paragraphs>4</Paragraphs>
  <TotalTime>3</TotalTime>
  <ScaleCrop>false</ScaleCrop>
  <LinksUpToDate>false</LinksUpToDate>
  <CharactersWithSpaces>1882</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YC</cp:lastModifiedBy>
  <dcterms:modified xsi:type="dcterms:W3CDTF">2023-01-12T03:06:11Z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209CA03CF06A4690831E82C5008DFA90</vt:lpwstr>
  </property>
</Properties>
</file>