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iCs w:val="0"/>
          <w:caps w:val="0"/>
          <w:color w:val="000000" w:themeColor="text1"/>
          <w:spacing w:val="0"/>
          <w:sz w:val="36"/>
          <w:szCs w:val="36"/>
          <w14:textFill>
            <w14:solidFill>
              <w14:schemeClr w14:val="tx1"/>
            </w14:solidFill>
          </w14:textFill>
        </w:rPr>
      </w:pPr>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丰城市科技局2021年</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00" w:lineRule="atLeast"/>
        <w:ind w:left="0" w:firstLine="0"/>
        <w:jc w:val="both"/>
        <w:rPr>
          <w:rFonts w:hint="default"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科技局办公室编制，本年度报告中所列数据统计期限自2021年1月1日至2021年12月31日止，并通过丰城市人民政府门户网站中“政府信息公开年报”栏目（网址:</w:t>
      </w:r>
      <w:r>
        <w:rPr>
          <w:rFonts w:ascii="仿宋" w:hAnsi="仿宋" w:eastAsia="仿宋" w:cs="仿宋"/>
          <w:i w:val="0"/>
          <w:iCs w:val="0"/>
          <w:spacing w:val="0"/>
          <w:sz w:val="30"/>
          <w:szCs w:val="30"/>
          <w:shd w:val="clear" w:fill="FFFFFF"/>
        </w:rPr>
        <w:fldChar w:fldCharType="begin"/>
      </w:r>
      <w:r>
        <w:rPr>
          <w:rFonts w:ascii="仿宋" w:hAnsi="仿宋" w:eastAsia="仿宋" w:cs="仿宋"/>
          <w:i w:val="0"/>
          <w:iCs w:val="0"/>
          <w:spacing w:val="0"/>
          <w:sz w:val="30"/>
          <w:szCs w:val="30"/>
          <w:shd w:val="clear" w:fill="FFFFFF"/>
        </w:rPr>
        <w:instrText xml:space="preserve"> HYPERLINK "http://www.jxfc.gov.cn/xxgk-show-123679.html" \o "" \t "http://www.jxfc.gov.cn/_self" </w:instrText>
      </w:r>
      <w:r>
        <w:rPr>
          <w:rFonts w:ascii="仿宋" w:hAnsi="仿宋" w:eastAsia="仿宋" w:cs="仿宋"/>
          <w:i w:val="0"/>
          <w:iCs w:val="0"/>
          <w:spacing w:val="0"/>
          <w:sz w:val="30"/>
          <w:szCs w:val="30"/>
          <w:shd w:val="clear" w:fill="FFFFFF"/>
        </w:rPr>
        <w:fldChar w:fldCharType="separate"/>
      </w:r>
      <w:r>
        <w:rPr>
          <w:rStyle w:val="7"/>
          <w:rFonts w:hint="eastAsia" w:ascii="仿宋" w:hAnsi="仿宋" w:eastAsia="仿宋" w:cs="仿宋"/>
          <w:i w:val="0"/>
          <w:iCs w:val="0"/>
          <w:spacing w:val="0"/>
          <w:sz w:val="30"/>
          <w:szCs w:val="30"/>
          <w:shd w:val="clear" w:fill="FFFFFF"/>
        </w:rPr>
        <w:t>http://www.jxfc.gov.cn/xxgk-show-123679.html</w:t>
      </w:r>
      <w:r>
        <w:rPr>
          <w:rFonts w:hint="eastAsia" w:ascii="仿宋" w:hAnsi="仿宋" w:eastAsia="仿宋" w:cs="仿宋"/>
          <w:i w:val="0"/>
          <w:iCs w:val="0"/>
          <w:spacing w:val="0"/>
          <w:sz w:val="30"/>
          <w:szCs w:val="30"/>
          <w:shd w:val="clear" w:fill="FFFFFF"/>
        </w:rPr>
        <w:fldChar w:fldCharType="end"/>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）等平台向社会主动公开，如对本年报有疑问，请与丰城市科技局办公室联系（地址：丰城市第二行政中心309室，电话：0795－6608369）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2021年度，我局严格按照《政府信息公开条例》的规定以及上级关于政府信息公开工作的部署和要求，不断深入推进政府信息公开工作，加大公开力度，畅通公开渠道，进一步提高了政务公开实效。现将本年度政府信息公开工作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微软雅黑" w:hAnsi="微软雅黑" w:eastAsia="微软雅黑" w:cs="微软雅黑"/>
          <w:i w:val="0"/>
          <w:caps w:val="0"/>
          <w:color w:val="333333"/>
          <w:spacing w:val="0"/>
          <w:sz w:val="25"/>
          <w:szCs w:val="25"/>
        </w:rPr>
      </w:pPr>
      <w:r>
        <w:rPr>
          <w:rStyle w:val="6"/>
          <w:rFonts w:ascii="仿宋" w:hAnsi="仿宋" w:eastAsia="仿宋" w:cs="仿宋"/>
          <w:i w:val="0"/>
          <w:caps w:val="0"/>
          <w:color w:val="000000"/>
          <w:spacing w:val="0"/>
          <w:sz w:val="28"/>
          <w:szCs w:val="28"/>
          <w:shd w:val="clear" w:fill="FFFFFF"/>
        </w:rPr>
        <w:t>（一）主动公开政府信息方面。</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2021年，丰城市科技局始终将政务信息主动公开工作作为推进依法行政的重要手段，不断扩大公开范围，细化公开内容。全年坚持以公开为常态、不公开为例外的原则，及时反映工作动态，第一时间回应社会关切，定期公布丰城市科技创新管理有关数据，为社会公众提供公开查询技术创新数据服务。结合工作实际，主要通过网络问政平台、市政府信息公开系统平台等多渠道积极推进市统计局政务公开工作，在信息公开工作动态栏目发布信息126条，同时严格按照上级要求按时公开部门预算与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Style w:val="6"/>
          <w:rFonts w:hint="eastAsia" w:ascii="仿宋" w:hAnsi="仿宋" w:eastAsia="仿宋" w:cs="仿宋"/>
          <w:i w:val="0"/>
          <w:caps w:val="0"/>
          <w:color w:val="333333"/>
          <w:spacing w:val="0"/>
          <w:sz w:val="28"/>
          <w:szCs w:val="28"/>
          <w:shd w:val="clear" w:fill="FFFFFF"/>
        </w:rPr>
        <w:t>（二）依申请公开方面。</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2021年，丰城市科技局加强依申请公开责任落实，及时有效地与群众沟通，回复网友在依申请公开中各项咨询。全年依申请公开平台总共受理0条信息咨询服务，未发生逾期未回复情况。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微软雅黑" w:hAnsi="微软雅黑" w:eastAsia="微软雅黑" w:cs="微软雅黑"/>
          <w:i w:val="0"/>
          <w:caps w:val="0"/>
          <w:color w:val="333333"/>
          <w:spacing w:val="0"/>
          <w:sz w:val="25"/>
          <w:szCs w:val="25"/>
        </w:rPr>
      </w:pPr>
      <w:r>
        <w:rPr>
          <w:rStyle w:val="6"/>
          <w:rFonts w:hint="eastAsia" w:ascii="仿宋" w:hAnsi="仿宋" w:eastAsia="仿宋" w:cs="仿宋"/>
          <w:i w:val="0"/>
          <w:caps w:val="0"/>
          <w:color w:val="333333"/>
          <w:spacing w:val="0"/>
          <w:sz w:val="28"/>
          <w:szCs w:val="28"/>
          <w:shd w:val="clear" w:fill="FFFFFF"/>
        </w:rPr>
        <w:t>（三）政府信息管理方面。</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坚持做好信息公开审核工作，所有拟发布信息均按照正规流程进行，各级审核人员对信息内容层层把关，对信息的时效性，内容的真实性、准确性、完整性和安全性以及涉密情况进行审核，并提出是否公开意见。已公开的政府信息中未涉及国家秘密、商业秘密和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Style w:val="6"/>
          <w:rFonts w:hint="eastAsia" w:ascii="仿宋" w:hAnsi="仿宋" w:eastAsia="仿宋" w:cs="仿宋"/>
          <w:i w:val="0"/>
          <w:caps w:val="0"/>
          <w:color w:val="333333"/>
          <w:spacing w:val="0"/>
          <w:sz w:val="28"/>
          <w:szCs w:val="28"/>
          <w:shd w:val="clear" w:fill="FFFFFF"/>
        </w:rPr>
        <w:t>（四）信息公开平台建设方面。</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2021年度，丰城市科技局根据新发展需要，不断完善平台建设。为确保政府信息公开工作持续良好开展，我局严格落实政务公开规定，细化工作任务，形成由分管领导牵头、各科室及各下属事业单位认真落实的政务公开工作机制。同时安排1名联络员负责政府信息公开内容维护、组织协调等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仿宋" w:hAnsi="仿宋" w:eastAsia="仿宋" w:cs="仿宋"/>
          <w:i w:val="0"/>
          <w:caps w:val="0"/>
          <w:color w:val="333333"/>
          <w:spacing w:val="0"/>
          <w:sz w:val="28"/>
          <w:szCs w:val="28"/>
          <w:shd w:val="clear" w:fill="FFFFFF"/>
        </w:rPr>
        <w:t>（五）监督保障方面。</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2021年，丰城市科技局以确保涉密信息不上网、上网信息不涉密的原则严格开展落实政府信息公开工作，对信息公开涉密情况进行审查，确保统计数据公开信息的安全。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本单位政府信息公开工作主要还存在以下不足：公开内容时效性需要加强，当天开展的工作当天发布动态，公开质量需进一步优化，尽量多发布本地本部分的工作信息。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下一步，本单位将着重抓好以下几方面工作：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一是围绕科技创新领域，细化信息公开的范围、种类、方式、时限等，确保公开的政府信息能够做到准确、全面、及时、有效公开。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微软雅黑" w:hAnsi="微软雅黑" w:eastAsia="微软雅黑" w:cs="微软雅黑"/>
          <w:b w:val="0"/>
          <w:bCs/>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二是聚焦社会关注，强化解读回应。每周定期发送涉及群众切身利益、社会广泛关注的重要科普知识，让广大人民群众看得见、听得懂、信得过。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both"/>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我局严格按照国务院办公厅《政府信息公开信息处理费管理办法》（国办【2020】109号）执行，信息处理费按照超额累进方式计算收费金额，采取按件计收或按量计收方式，2021年我局信息处理费收费情况为零。</w:t>
      </w:r>
    </w:p>
    <w:p>
      <w:pPr>
        <w:keepNext w:val="0"/>
        <w:keepLines w:val="0"/>
        <w:pageBreakBefore w:val="0"/>
        <w:kinsoku/>
        <w:wordWrap/>
        <w:overflowPunct/>
        <w:topLinePunct w:val="0"/>
        <w:autoSpaceDE/>
        <w:autoSpaceDN/>
        <w:bidi w:val="0"/>
        <w:adjustRightInd/>
        <w:snapToGrid/>
        <w:spacing w:line="600" w:lineRule="exact"/>
        <w:textAlignment w:val="auto"/>
        <w:rPr>
          <w:b w:val="0"/>
          <w:bCs/>
          <w:color w:val="000000" w:themeColor="text1"/>
          <w:sz w:val="28"/>
          <w:szCs w:val="28"/>
          <w14:textFill>
            <w14:solidFill>
              <w14:schemeClr w14:val="tx1"/>
            </w14:solidFill>
          </w14:textFill>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NDBmN2JkYTdlNjU0NjkzZDY0NGZjYWVkZmI4YmEifQ=="/>
  </w:docVars>
  <w:rsids>
    <w:rsidRoot w:val="00000000"/>
    <w:rsid w:val="08DA2D97"/>
    <w:rsid w:val="29F05F05"/>
    <w:rsid w:val="312D215D"/>
    <w:rsid w:val="31523CCA"/>
    <w:rsid w:val="4A223B5D"/>
    <w:rsid w:val="4A2E105A"/>
    <w:rsid w:val="4DBA3FA3"/>
    <w:rsid w:val="4E787A3E"/>
    <w:rsid w:val="50AF27E0"/>
    <w:rsid w:val="52972904"/>
    <w:rsid w:val="591C41DD"/>
    <w:rsid w:val="5C97782D"/>
    <w:rsid w:val="5E077CEC"/>
    <w:rsid w:val="75743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2203</Words>
  <Characters>2314</Characters>
  <Lines>0</Lines>
  <Paragraphs>0</Paragraphs>
  <TotalTime>4</TotalTime>
  <ScaleCrop>false</ScaleCrop>
  <LinksUpToDate>false</LinksUpToDate>
  <CharactersWithSpaces>2329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杜</cp:lastModifiedBy>
  <dcterms:modified xsi:type="dcterms:W3CDTF">2023-01-19T04:04:01Z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0D65A576F9914061BEC094DCFA735CD8</vt:lpwstr>
  </property>
</Properties>
</file>