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bdr w:val="none" w:color="auto" w:sz="0" w:space="0"/>
          <w:lang w:val="en-US" w:eastAsia="zh-CN" w:bidi="ar"/>
        </w:rPr>
        <w:t>丰城市林业局2020年政府信息公开工作年度报告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ascii="仿宋" w:hAnsi="仿宋" w:eastAsia="仿宋" w:cs="仿宋"/>
          <w:sz w:val="31"/>
          <w:szCs w:val="31"/>
          <w:bdr w:val="none" w:color="auto" w:sz="0" w:space="0"/>
        </w:rPr>
        <w:t>按照省、市、县有关要求，我局成立了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“双公示”领导小组，建立了联络员制度，各股室各司其职具体操作。编制了“双公示”目录。公示内容以市政府统一制作的信息展示格式和数据模板为准。介于我局行政审批职能已划转给市行政审批，林业行政许可信息公示由市行政审批局负责公示。公示方式是在政府网站开通信用公示专栏公示，并通过内网将信息定期报送至市信用办。我局在行政处罚公示工作中，严格把关，按要求公布，在执行法律依据和条款及格式上，按要求严把质量关，对相关数据及时公示。2020年，行政处罚项目29项，处理决定数量525件；行政强制项目16项，无发生行政强制；新收政府信息公开申请数量21项，予以公开21项；无行政复议、行政诉讼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left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二、主动公开政府信息情况</w:t>
      </w:r>
    </w:p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1815"/>
        <w:gridCol w:w="2130"/>
        <w:gridCol w:w="21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本年新制作数量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本年新公开数量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规范性文件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许可权已移交市行政审批局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其他对外管理服务事项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第二十六条第（六）项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1项行政事业收费已移交市行政审批局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采购项目数量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采购总金额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政府集中采购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315"/>
        <w:jc w:val="left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三、收到和处理政府信息公开申请情况</w:t>
      </w:r>
    </w:p>
    <w:tbl>
      <w:tblPr>
        <w:tblW w:w="94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750"/>
        <w:gridCol w:w="2687"/>
        <w:gridCol w:w="897"/>
        <w:gridCol w:w="599"/>
        <w:gridCol w:w="778"/>
        <w:gridCol w:w="778"/>
        <w:gridCol w:w="778"/>
        <w:gridCol w:w="778"/>
        <w:gridCol w:w="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法人或其他组织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（三）不予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以公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（四）无法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left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四、政府信息公开行政复议、行政诉讼情况</w:t>
      </w:r>
    </w:p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“双公示”数量较少，行政处罚项目覆盖面不大，仅限于森林督查中的乱砍滥伐和乱征滥占林地。2021年，将加强“双公示”人员的培训，提高人员的素质，增加公示人员，强化领导，使公示工作准确及时，取得实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210" w:afterAutospacing="0" w:line="555" w:lineRule="atLeast"/>
        <w:ind w:left="0" w:right="0"/>
        <w:jc w:val="lef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210" w:afterAutospacing="0" w:line="555" w:lineRule="atLeast"/>
        <w:ind w:left="0" w:right="0" w:firstLine="5115"/>
        <w:jc w:val="righ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丰城市林业局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10" w:beforeAutospacing="0" w:after="210" w:afterAutospacing="0" w:line="555" w:lineRule="atLeast"/>
        <w:ind w:left="0" w:right="0" w:firstLine="5115"/>
        <w:jc w:val="right"/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2021年1月20日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5534D"/>
    <w:rsid w:val="20C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2021-07-15T03:14:00Z</dcterms:created>
  <dc:creator>Administrator</dc:creator>
  <cp:lastModifiedBy>Administrator</cp:lastModifiedBy>
  <dcterms:modified xsi:type="dcterms:W3CDTF">2021-07-15T08:13:31Z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C7C339D9EAA94FFF87478DC1B4111061</vt:lpwstr>
  </property>
</Properties>
</file>