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hint="eastAsia"/>
          <w:kern w:val="2"/>
          <w:sz w:val="28"/>
          <w:szCs w:val="28"/>
        </w:rPr>
      </w:pPr>
      <w:r>
        <w:rPr>
          <w:rFonts w:hint="eastAsia" w:ascii="黑体" w:hAnsi="黑体" w:eastAsia="黑体"/>
          <w:kern w:val="2"/>
          <w:sz w:val="36"/>
          <w:szCs w:val="36"/>
          <w:lang w:val="en-US" w:eastAsia="zh-CN"/>
        </w:rPr>
        <w:t>丰城市统计局</w:t>
      </w:r>
      <w:r>
        <w:rPr>
          <w:rFonts w:hint="eastAsia" w:ascii="黑体" w:hAnsi="黑体" w:eastAsia="黑体"/>
          <w:kern w:val="2"/>
          <w:sz w:val="36"/>
          <w:szCs w:val="36"/>
        </w:rPr>
        <w:t>20</w:t>
      </w:r>
      <w:r>
        <w:rPr>
          <w:rFonts w:hint="eastAsia" w:ascii="黑体" w:hAnsi="黑体" w:eastAsia="黑体"/>
          <w:kern w:val="2"/>
          <w:sz w:val="36"/>
          <w:szCs w:val="36"/>
          <w:lang w:val="en-US" w:eastAsia="zh-CN"/>
        </w:rPr>
        <w:t>20</w:t>
      </w:r>
      <w:r>
        <w:rPr>
          <w:rFonts w:hint="eastAsia" w:ascii="黑体" w:hAnsi="黑体" w:eastAsia="黑体"/>
          <w:kern w:val="2"/>
          <w:sz w:val="36"/>
          <w:szCs w:val="36"/>
        </w:rPr>
        <w:t>年政府信息公开工作年度报告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 本年度报告是按照《中华人民共和国政府信息公开条例》第五十条规定和《关于政府信息公开工作年度报告有关事项的通知》（国办公开办函〔2019〕60号）以及《江西省人民政府办公厅关于印发2020年江西省政务公开工作要点的通知》等相关文件要求，</w:t>
      </w:r>
      <w:r>
        <w:rPr>
          <w:rFonts w:hint="eastAsia" w:ascii="仿宋" w:hAnsi="仿宋" w:eastAsia="仿宋" w:cs="仿宋"/>
          <w:b w:val="0"/>
          <w:i w:val="0"/>
          <w:caps w:val="0"/>
          <w:color w:val="000000"/>
          <w:spacing w:val="0"/>
          <w:sz w:val="28"/>
          <w:szCs w:val="28"/>
          <w:shd w:val="clear" w:fill="FFFFFF"/>
          <w:lang w:val="en-US" w:eastAsia="zh-CN"/>
        </w:rPr>
        <w:t>由丰城市统计局结合有关统计</w:t>
      </w:r>
      <w:r>
        <w:rPr>
          <w:rFonts w:hint="eastAsia" w:ascii="仿宋" w:hAnsi="仿宋" w:eastAsia="仿宋" w:cs="仿宋"/>
          <w:b w:val="0"/>
          <w:i w:val="0"/>
          <w:caps w:val="0"/>
          <w:color w:val="000000"/>
          <w:spacing w:val="0"/>
          <w:sz w:val="28"/>
          <w:szCs w:val="28"/>
          <w:shd w:val="clear" w:fill="FFFFFF"/>
        </w:rPr>
        <w:t>数据编制而成。本报告由总体情况、主动公开政府信息情况、收到和处理政府信息公开申请情况、政府信息公开行政复议、行政诉讼情况、存在的主要问题及改进情况</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其他需要报告的事项6</w:t>
      </w:r>
      <w:r>
        <w:rPr>
          <w:rFonts w:hint="eastAsia" w:ascii="仿宋" w:hAnsi="仿宋" w:eastAsia="仿宋" w:cs="仿宋"/>
          <w:b w:val="0"/>
          <w:i w:val="0"/>
          <w:caps w:val="0"/>
          <w:color w:val="000000"/>
          <w:spacing w:val="0"/>
          <w:sz w:val="28"/>
          <w:szCs w:val="28"/>
          <w:shd w:val="clear" w:fill="FFFFFF"/>
        </w:rPr>
        <w:t>个部分组成。本报告中所列数据统计时间为2020年1月1日至2020年12月31日。如对本报告有任何疑问，请与</w:t>
      </w:r>
      <w:r>
        <w:rPr>
          <w:rFonts w:hint="eastAsia" w:ascii="仿宋" w:hAnsi="仿宋" w:eastAsia="仿宋" w:cs="仿宋"/>
          <w:b w:val="0"/>
          <w:i w:val="0"/>
          <w:caps w:val="0"/>
          <w:color w:val="000000"/>
          <w:spacing w:val="0"/>
          <w:sz w:val="28"/>
          <w:szCs w:val="28"/>
          <w:shd w:val="clear" w:fill="FFFFFF"/>
          <w:lang w:val="en-US" w:eastAsia="zh-CN"/>
        </w:rPr>
        <w:t>丰城市统计局</w:t>
      </w:r>
      <w:r>
        <w:rPr>
          <w:rFonts w:hint="eastAsia" w:ascii="仿宋" w:hAnsi="仿宋" w:eastAsia="仿宋" w:cs="仿宋"/>
          <w:b w:val="0"/>
          <w:i w:val="0"/>
          <w:caps w:val="0"/>
          <w:color w:val="000000"/>
          <w:spacing w:val="0"/>
          <w:sz w:val="28"/>
          <w:szCs w:val="28"/>
          <w:shd w:val="clear" w:fill="FFFFFF"/>
        </w:rPr>
        <w:t>办公室联系（</w:t>
      </w:r>
      <w:r>
        <w:rPr>
          <w:rFonts w:hint="eastAsia" w:ascii="仿宋" w:hAnsi="仿宋" w:eastAsia="仿宋" w:cs="仿宋"/>
          <w:b w:val="0"/>
          <w:i w:val="0"/>
          <w:caps w:val="0"/>
          <w:color w:val="000000"/>
          <w:spacing w:val="0"/>
          <w:sz w:val="28"/>
          <w:szCs w:val="28"/>
          <w:shd w:val="clear" w:fill="FFFFFF"/>
          <w:lang w:val="en-US" w:eastAsia="zh-CN"/>
        </w:rPr>
        <w:t>地址：丰城市行政中心大楼11楼1116室，</w:t>
      </w:r>
      <w:r>
        <w:rPr>
          <w:rFonts w:hint="eastAsia" w:ascii="仿宋" w:hAnsi="仿宋" w:eastAsia="仿宋" w:cs="仿宋"/>
          <w:b w:val="0"/>
          <w:i w:val="0"/>
          <w:caps w:val="0"/>
          <w:color w:val="000000"/>
          <w:spacing w:val="0"/>
          <w:sz w:val="28"/>
          <w:szCs w:val="28"/>
          <w:shd w:val="clear" w:fill="FFFFFF"/>
        </w:rPr>
        <w:t>联系电话：0795—</w:t>
      </w:r>
      <w:r>
        <w:rPr>
          <w:rFonts w:hint="eastAsia" w:ascii="仿宋" w:hAnsi="仿宋" w:eastAsia="仿宋" w:cs="仿宋"/>
          <w:b w:val="0"/>
          <w:i w:val="0"/>
          <w:caps w:val="0"/>
          <w:color w:val="000000"/>
          <w:spacing w:val="0"/>
          <w:sz w:val="28"/>
          <w:szCs w:val="28"/>
          <w:shd w:val="clear" w:fill="FFFFFF"/>
          <w:lang w:val="en-US" w:eastAsia="zh-CN"/>
        </w:rPr>
        <w:t>6608316，邮编：331100</w:t>
      </w:r>
      <w:r>
        <w:rPr>
          <w:rFonts w:hint="eastAsia" w:ascii="仿宋" w:hAnsi="仿宋" w:eastAsia="仿宋" w:cs="仿宋"/>
          <w:b w:val="0"/>
          <w:i w:val="0"/>
          <w:caps w:val="0"/>
          <w:color w:val="000000"/>
          <w:spacing w:val="0"/>
          <w:sz w:val="28"/>
          <w:szCs w:val="28"/>
          <w:shd w:val="clear" w:fill="FFFFFF"/>
        </w:rPr>
        <w:t>）。</w:t>
      </w:r>
    </w:p>
    <w:p>
      <w:pPr>
        <w:adjustRightInd/>
        <w:spacing w:line="240" w:lineRule="auto"/>
        <w:rPr>
          <w:rFonts w:hint="eastAsia" w:ascii="仿宋" w:hAnsi="仿宋" w:eastAsia="仿宋" w:cs="仿宋"/>
          <w:b/>
          <w:bCs/>
          <w:kern w:val="2"/>
          <w:sz w:val="28"/>
          <w:szCs w:val="28"/>
        </w:rPr>
      </w:pPr>
      <w:r>
        <w:rPr>
          <w:rFonts w:hint="eastAsia" w:ascii="仿宋" w:hAnsi="仿宋" w:eastAsia="仿宋" w:cs="仿宋"/>
          <w:b/>
          <w:bCs/>
          <w:kern w:val="2"/>
          <w:sz w:val="28"/>
          <w:szCs w:val="28"/>
        </w:rPr>
        <w:t>一、总体情况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val="0"/>
          <w:i w:val="0"/>
          <w:caps w:val="0"/>
          <w:color w:val="000000"/>
          <w:spacing w:val="0"/>
          <w:sz w:val="28"/>
          <w:szCs w:val="28"/>
          <w:shd w:val="clear" w:fill="FFFFFF"/>
        </w:rPr>
        <w:t>2020年，在市委、市政府的坚强领导下，</w:t>
      </w:r>
      <w:r>
        <w:rPr>
          <w:rFonts w:hint="eastAsia" w:ascii="仿宋" w:hAnsi="仿宋" w:eastAsia="仿宋" w:cs="仿宋"/>
          <w:b w:val="0"/>
          <w:i w:val="0"/>
          <w:caps w:val="0"/>
          <w:color w:val="000000"/>
          <w:spacing w:val="0"/>
          <w:sz w:val="28"/>
          <w:szCs w:val="28"/>
          <w:shd w:val="clear" w:fill="FFFFFF"/>
          <w:lang w:val="en-US" w:eastAsia="zh-CN"/>
        </w:rPr>
        <w:t>丰城市统计局</w:t>
      </w:r>
      <w:r>
        <w:rPr>
          <w:rFonts w:hint="eastAsia" w:ascii="仿宋" w:hAnsi="仿宋" w:eastAsia="仿宋" w:cs="仿宋"/>
          <w:b w:val="0"/>
          <w:i w:val="0"/>
          <w:caps w:val="0"/>
          <w:color w:val="000000"/>
          <w:spacing w:val="0"/>
          <w:sz w:val="28"/>
          <w:szCs w:val="28"/>
          <w:shd w:val="clear" w:fill="FFFFFF"/>
        </w:rPr>
        <w:t>坚持以习近平新时代中国特色社会主义思想为指导，深入贯彻落实习近平总书记视察江西重要讲话和重要指示批示精神，紧紧围绕中央、省</w:t>
      </w:r>
      <w:r>
        <w:rPr>
          <w:rFonts w:hint="eastAsia" w:ascii="仿宋" w:hAnsi="仿宋" w:eastAsia="仿宋" w:cs="仿宋"/>
          <w:b w:val="0"/>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宜春市</w:t>
      </w:r>
      <w:r>
        <w:rPr>
          <w:rFonts w:hint="eastAsia" w:ascii="仿宋" w:hAnsi="仿宋" w:eastAsia="仿宋" w:cs="仿宋"/>
          <w:b w:val="0"/>
          <w:i w:val="0"/>
          <w:caps w:val="0"/>
          <w:color w:val="000000"/>
          <w:spacing w:val="0"/>
          <w:sz w:val="28"/>
          <w:szCs w:val="28"/>
          <w:shd w:val="clear" w:fill="FFFFFF"/>
        </w:rPr>
        <w:t>关于全面推进政务公开工作的系列部署，持续加大公开范围，深化公开内容，创新公开形式，有力促进了政务公开各项工作的开展，取得了良好成效。</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562"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bCs/>
          <w:i w:val="0"/>
          <w:caps w:val="0"/>
          <w:color w:val="000000"/>
          <w:spacing w:val="0"/>
          <w:sz w:val="28"/>
          <w:szCs w:val="28"/>
          <w:shd w:val="clear" w:fill="FFFFFF"/>
          <w:lang w:eastAsia="zh-CN"/>
        </w:rPr>
        <w:t>（</w:t>
      </w:r>
      <w:r>
        <w:rPr>
          <w:rFonts w:hint="eastAsia" w:ascii="仿宋" w:hAnsi="仿宋" w:eastAsia="仿宋" w:cs="仿宋"/>
          <w:b/>
          <w:bCs/>
          <w:i w:val="0"/>
          <w:caps w:val="0"/>
          <w:color w:val="000000"/>
          <w:spacing w:val="0"/>
          <w:sz w:val="28"/>
          <w:szCs w:val="28"/>
          <w:shd w:val="clear" w:fill="FFFFFF"/>
          <w:lang w:val="en-US" w:eastAsia="zh-CN"/>
        </w:rPr>
        <w:t>一</w:t>
      </w:r>
      <w:r>
        <w:rPr>
          <w:rFonts w:hint="eastAsia" w:ascii="仿宋" w:hAnsi="仿宋" w:eastAsia="仿宋" w:cs="仿宋"/>
          <w:b/>
          <w:bCs/>
          <w:i w:val="0"/>
          <w:caps w:val="0"/>
          <w:color w:val="000000"/>
          <w:spacing w:val="0"/>
          <w:sz w:val="28"/>
          <w:szCs w:val="28"/>
          <w:shd w:val="clear" w:fill="FFFFFF"/>
          <w:lang w:eastAsia="zh-CN"/>
        </w:rPr>
        <w:t>）</w:t>
      </w:r>
      <w:r>
        <w:rPr>
          <w:rFonts w:hint="eastAsia" w:ascii="仿宋" w:hAnsi="仿宋" w:eastAsia="仿宋" w:cs="仿宋"/>
          <w:b/>
          <w:bCs/>
          <w:i w:val="0"/>
          <w:caps w:val="0"/>
          <w:color w:val="000000"/>
          <w:spacing w:val="0"/>
          <w:sz w:val="28"/>
          <w:szCs w:val="28"/>
          <w:shd w:val="clear" w:fill="FFFFFF"/>
        </w:rPr>
        <w:t>主动公开政府信息方面</w:t>
      </w:r>
      <w:r>
        <w:rPr>
          <w:rFonts w:hint="eastAsia" w:ascii="仿宋" w:hAnsi="仿宋" w:eastAsia="仿宋" w:cs="仿宋"/>
          <w:b/>
          <w:bCs/>
          <w:i w:val="0"/>
          <w:caps w:val="0"/>
          <w:color w:val="000000"/>
          <w:spacing w:val="0"/>
          <w:sz w:val="28"/>
          <w:szCs w:val="28"/>
          <w:shd w:val="clear" w:fill="FFFFFF"/>
          <w:lang w:eastAsia="zh-CN"/>
        </w:rPr>
        <w:t>。</w:t>
      </w:r>
      <w:r>
        <w:rPr>
          <w:rFonts w:hint="eastAsia" w:ascii="仿宋" w:hAnsi="仿宋" w:eastAsia="仿宋" w:cs="仿宋"/>
          <w:b w:val="0"/>
          <w:i w:val="0"/>
          <w:caps w:val="0"/>
          <w:color w:val="000000"/>
          <w:spacing w:val="0"/>
          <w:sz w:val="28"/>
          <w:szCs w:val="28"/>
          <w:shd w:val="clear" w:fill="FFFFFF"/>
          <w:lang w:val="en-US" w:eastAsia="zh-CN"/>
        </w:rPr>
        <w:t>2020年，丰城</w:t>
      </w:r>
      <w:r>
        <w:rPr>
          <w:rFonts w:hint="eastAsia" w:ascii="仿宋" w:hAnsi="仿宋" w:eastAsia="仿宋" w:cs="仿宋"/>
          <w:i w:val="0"/>
          <w:iCs w:val="0"/>
          <w:caps w:val="0"/>
          <w:color w:val="333333"/>
          <w:spacing w:val="0"/>
          <w:sz w:val="28"/>
          <w:szCs w:val="28"/>
          <w:shd w:val="clear" w:fill="FFFFFF"/>
        </w:rPr>
        <w:t>市统计局始终将政务信息主动公开工作作为推进依法行政的重要手段，不断扩大公开范围，细化公开内容。</w:t>
      </w:r>
      <w:r>
        <w:rPr>
          <w:rFonts w:hint="eastAsia" w:ascii="仿宋" w:hAnsi="仿宋" w:eastAsia="仿宋" w:cs="仿宋"/>
          <w:i w:val="0"/>
          <w:iCs w:val="0"/>
          <w:caps w:val="0"/>
          <w:color w:val="333333"/>
          <w:spacing w:val="0"/>
          <w:sz w:val="28"/>
          <w:szCs w:val="28"/>
          <w:shd w:val="clear" w:fill="FFFFFF"/>
          <w:lang w:val="en-US" w:eastAsia="zh-CN"/>
        </w:rPr>
        <w:t>全年</w:t>
      </w:r>
      <w:r>
        <w:rPr>
          <w:rFonts w:hint="eastAsia" w:ascii="仿宋" w:hAnsi="仿宋" w:eastAsia="仿宋" w:cs="仿宋"/>
          <w:b w:val="0"/>
          <w:i w:val="0"/>
          <w:caps w:val="0"/>
          <w:color w:val="000000"/>
          <w:spacing w:val="0"/>
          <w:sz w:val="28"/>
          <w:szCs w:val="28"/>
          <w:shd w:val="clear" w:fill="FFFFFF"/>
          <w:lang w:eastAsia="zh-CN"/>
        </w:rPr>
        <w:t>坚持以公开为常态、不公开为例外的原则，及时反映工作动态，第一时间回应社会关切，</w:t>
      </w:r>
      <w:r>
        <w:rPr>
          <w:rFonts w:hint="eastAsia" w:ascii="仿宋" w:hAnsi="仿宋" w:eastAsia="仿宋" w:cs="仿宋"/>
          <w:b w:val="0"/>
          <w:i w:val="0"/>
          <w:caps w:val="0"/>
          <w:color w:val="000000"/>
          <w:spacing w:val="0"/>
          <w:sz w:val="28"/>
          <w:szCs w:val="28"/>
          <w:shd w:val="clear" w:fill="FFFFFF"/>
          <w:lang w:val="en-US" w:eastAsia="zh-CN"/>
        </w:rPr>
        <w:t>每月</w:t>
      </w:r>
      <w:r>
        <w:rPr>
          <w:rFonts w:hint="eastAsia" w:ascii="仿宋" w:hAnsi="仿宋" w:eastAsia="仿宋" w:cs="仿宋"/>
          <w:b w:val="0"/>
          <w:i w:val="0"/>
          <w:caps w:val="0"/>
          <w:color w:val="000000"/>
          <w:spacing w:val="0"/>
          <w:sz w:val="28"/>
          <w:szCs w:val="28"/>
          <w:shd w:val="clear" w:fill="FFFFFF"/>
          <w:lang w:eastAsia="zh-CN"/>
        </w:rPr>
        <w:t>定期公布丰城市</w:t>
      </w:r>
      <w:r>
        <w:rPr>
          <w:rFonts w:hint="eastAsia" w:ascii="仿宋" w:hAnsi="仿宋" w:eastAsia="仿宋" w:cs="仿宋"/>
          <w:b w:val="0"/>
          <w:i w:val="0"/>
          <w:caps w:val="0"/>
          <w:color w:val="000000"/>
          <w:spacing w:val="0"/>
          <w:sz w:val="28"/>
          <w:szCs w:val="28"/>
          <w:shd w:val="clear" w:fill="FFFFFF"/>
          <w:lang w:val="en-US" w:eastAsia="zh-CN"/>
        </w:rPr>
        <w:t>主要经济指标</w:t>
      </w:r>
      <w:r>
        <w:rPr>
          <w:rFonts w:hint="eastAsia" w:ascii="仿宋" w:hAnsi="仿宋" w:eastAsia="仿宋" w:cs="仿宋"/>
          <w:b w:val="0"/>
          <w:i w:val="0"/>
          <w:caps w:val="0"/>
          <w:color w:val="000000"/>
          <w:spacing w:val="0"/>
          <w:sz w:val="28"/>
          <w:szCs w:val="28"/>
          <w:shd w:val="clear" w:fill="FFFFFF"/>
          <w:lang w:eastAsia="zh-CN"/>
        </w:rPr>
        <w:t>统计数据，为社会公众提供经济数据服务</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lang w:eastAsia="zh-CN"/>
        </w:rPr>
        <w:t>结合工作实际，主要</w:t>
      </w:r>
      <w:r>
        <w:rPr>
          <w:rFonts w:hint="eastAsia" w:ascii="仿宋" w:hAnsi="仿宋" w:eastAsia="仿宋" w:cs="仿宋"/>
          <w:b w:val="0"/>
          <w:i w:val="0"/>
          <w:caps w:val="0"/>
          <w:color w:val="000000"/>
          <w:spacing w:val="0"/>
          <w:sz w:val="28"/>
          <w:szCs w:val="28"/>
          <w:shd w:val="clear" w:fill="FFFFFF"/>
        </w:rPr>
        <w:t>通过网络</w:t>
      </w:r>
      <w:r>
        <w:rPr>
          <w:rFonts w:hint="eastAsia" w:ascii="仿宋" w:hAnsi="仿宋" w:eastAsia="仿宋" w:cs="仿宋"/>
          <w:b w:val="0"/>
          <w:i w:val="0"/>
          <w:caps w:val="0"/>
          <w:color w:val="000000"/>
          <w:spacing w:val="0"/>
          <w:sz w:val="28"/>
          <w:szCs w:val="28"/>
          <w:shd w:val="clear" w:fill="FFFFFF"/>
          <w:lang w:eastAsia="zh-CN"/>
        </w:rPr>
        <w:t>问政平台</w:t>
      </w:r>
      <w:r>
        <w:rPr>
          <w:rFonts w:hint="eastAsia" w:ascii="仿宋" w:hAnsi="仿宋" w:eastAsia="仿宋" w:cs="仿宋"/>
          <w:b w:val="0"/>
          <w:i w:val="0"/>
          <w:caps w:val="0"/>
          <w:color w:val="000000"/>
          <w:spacing w:val="0"/>
          <w:sz w:val="28"/>
          <w:szCs w:val="28"/>
          <w:shd w:val="clear" w:fill="FFFFFF"/>
        </w:rPr>
        <w:t>、</w:t>
      </w:r>
      <w:r>
        <w:rPr>
          <w:rFonts w:hint="eastAsia" w:ascii="仿宋" w:hAnsi="仿宋" w:eastAsia="仿宋" w:cs="仿宋"/>
          <w:b w:val="0"/>
          <w:i w:val="0"/>
          <w:caps w:val="0"/>
          <w:color w:val="000000"/>
          <w:spacing w:val="0"/>
          <w:sz w:val="28"/>
          <w:szCs w:val="28"/>
          <w:shd w:val="clear" w:fill="FFFFFF"/>
          <w:lang w:eastAsia="zh-CN"/>
        </w:rPr>
        <w:t>市政府信息公开系统平台</w:t>
      </w:r>
      <w:r>
        <w:rPr>
          <w:rFonts w:hint="eastAsia" w:ascii="仿宋" w:hAnsi="仿宋" w:eastAsia="仿宋" w:cs="仿宋"/>
          <w:b w:val="0"/>
          <w:i w:val="0"/>
          <w:caps w:val="0"/>
          <w:color w:val="000000"/>
          <w:spacing w:val="0"/>
          <w:sz w:val="28"/>
          <w:szCs w:val="28"/>
          <w:shd w:val="clear" w:fill="FFFFFF"/>
        </w:rPr>
        <w:t>等多渠道</w:t>
      </w:r>
      <w:r>
        <w:rPr>
          <w:rFonts w:hint="eastAsia" w:ascii="仿宋" w:hAnsi="仿宋" w:eastAsia="仿宋" w:cs="仿宋"/>
          <w:b w:val="0"/>
          <w:i w:val="0"/>
          <w:caps w:val="0"/>
          <w:color w:val="000000"/>
          <w:spacing w:val="0"/>
          <w:sz w:val="28"/>
          <w:szCs w:val="28"/>
          <w:shd w:val="clear" w:fill="FFFFFF"/>
          <w:lang w:eastAsia="zh-CN"/>
        </w:rPr>
        <w:t>积极推进市统计局政务公开工作，</w:t>
      </w:r>
      <w:r>
        <w:rPr>
          <w:rFonts w:hint="eastAsia" w:ascii="仿宋" w:hAnsi="仿宋" w:eastAsia="仿宋" w:cs="仿宋"/>
          <w:b w:val="0"/>
          <w:i w:val="0"/>
          <w:caps w:val="0"/>
          <w:color w:val="000000"/>
          <w:spacing w:val="0"/>
          <w:sz w:val="28"/>
          <w:szCs w:val="28"/>
          <w:shd w:val="clear" w:fill="FFFFFF"/>
          <w:lang w:val="en-US" w:eastAsia="zh-CN"/>
        </w:rPr>
        <w:t>在信息公开工作动态栏目发布信息107条，同时严格按照上级要求按时公开部门预算与其他信息</w:t>
      </w:r>
      <w:r>
        <w:rPr>
          <w:rFonts w:hint="eastAsia" w:ascii="仿宋" w:hAnsi="仿宋" w:eastAsia="仿宋" w:cs="仿宋"/>
          <w:b w:val="0"/>
          <w:i w:val="0"/>
          <w:caps w:val="0"/>
          <w:color w:val="000000"/>
          <w:spacing w:val="0"/>
          <w:sz w:val="28"/>
          <w:szCs w:val="28"/>
          <w:shd w:val="clear" w:fill="FFFFFF"/>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562"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bCs/>
          <w:sz w:val="28"/>
          <w:szCs w:val="28"/>
          <w:lang w:val="en-US" w:eastAsia="zh-CN"/>
        </w:rPr>
        <w:t>（二）依申请公开方面。</w:t>
      </w:r>
      <w:r>
        <w:rPr>
          <w:rFonts w:hint="eastAsia" w:ascii="仿宋" w:hAnsi="仿宋" w:eastAsia="仿宋" w:cs="仿宋"/>
          <w:i w:val="0"/>
          <w:iCs w:val="0"/>
          <w:caps w:val="0"/>
          <w:color w:val="333333"/>
          <w:spacing w:val="0"/>
          <w:sz w:val="28"/>
          <w:szCs w:val="28"/>
        </w:rPr>
        <w:t>2020年，</w:t>
      </w:r>
      <w:r>
        <w:rPr>
          <w:rFonts w:hint="eastAsia" w:ascii="仿宋" w:hAnsi="仿宋" w:eastAsia="仿宋" w:cs="仿宋"/>
          <w:b w:val="0"/>
          <w:i w:val="0"/>
          <w:caps w:val="0"/>
          <w:color w:val="000000"/>
          <w:spacing w:val="0"/>
          <w:sz w:val="28"/>
          <w:szCs w:val="28"/>
          <w:shd w:val="clear" w:fill="FFFFFF"/>
          <w:lang w:val="en-US" w:eastAsia="zh-CN"/>
        </w:rPr>
        <w:t>丰城</w:t>
      </w:r>
      <w:r>
        <w:rPr>
          <w:rFonts w:hint="eastAsia" w:ascii="仿宋" w:hAnsi="仿宋" w:eastAsia="仿宋" w:cs="仿宋"/>
          <w:i w:val="0"/>
          <w:iCs w:val="0"/>
          <w:caps w:val="0"/>
          <w:color w:val="333333"/>
          <w:spacing w:val="0"/>
          <w:sz w:val="28"/>
          <w:szCs w:val="28"/>
          <w:shd w:val="clear" w:fill="FFFFFF"/>
        </w:rPr>
        <w:t>市统计局</w:t>
      </w:r>
      <w:r>
        <w:rPr>
          <w:rFonts w:hint="eastAsia" w:ascii="仿宋" w:hAnsi="仿宋" w:eastAsia="仿宋" w:cs="仿宋"/>
          <w:i w:val="0"/>
          <w:iCs w:val="0"/>
          <w:caps w:val="0"/>
          <w:color w:val="333333"/>
          <w:spacing w:val="0"/>
          <w:sz w:val="28"/>
          <w:szCs w:val="28"/>
        </w:rPr>
        <w:t>加强依申请公开责任落实，及时有效地与群众沟通，回复网友在依申请公开中各项咨询。全年依申请公开平台总共受理</w:t>
      </w:r>
      <w:r>
        <w:rPr>
          <w:rFonts w:hint="eastAsia" w:ascii="仿宋" w:hAnsi="仿宋" w:eastAsia="仿宋" w:cs="仿宋"/>
          <w:i w:val="0"/>
          <w:iCs w:val="0"/>
          <w:caps w:val="0"/>
          <w:color w:val="333333"/>
          <w:spacing w:val="0"/>
          <w:sz w:val="28"/>
          <w:szCs w:val="28"/>
          <w:lang w:val="en-US" w:eastAsia="zh-CN"/>
        </w:rPr>
        <w:t>0</w:t>
      </w:r>
      <w:r>
        <w:rPr>
          <w:rFonts w:hint="eastAsia" w:ascii="仿宋" w:hAnsi="仿宋" w:eastAsia="仿宋" w:cs="仿宋"/>
          <w:i w:val="0"/>
          <w:iCs w:val="0"/>
          <w:caps w:val="0"/>
          <w:color w:val="333333"/>
          <w:spacing w:val="0"/>
          <w:sz w:val="28"/>
          <w:szCs w:val="28"/>
        </w:rPr>
        <w:t>条信息咨询服务，未发生逾期未回复情况。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562"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bCs/>
          <w:sz w:val="28"/>
          <w:szCs w:val="28"/>
          <w:lang w:val="en-US" w:eastAsia="zh-CN"/>
        </w:rPr>
        <w:t>（三）政府信息管理方面。</w:t>
      </w:r>
      <w:r>
        <w:rPr>
          <w:rFonts w:hint="eastAsia" w:ascii="仿宋" w:hAnsi="仿宋" w:eastAsia="仿宋" w:cs="仿宋"/>
          <w:i w:val="0"/>
          <w:iCs w:val="0"/>
          <w:caps w:val="0"/>
          <w:color w:val="333333"/>
          <w:spacing w:val="0"/>
          <w:sz w:val="28"/>
          <w:szCs w:val="28"/>
          <w:shd w:val="clear" w:fill="FFFFFF"/>
        </w:rPr>
        <w:t>坚持做好信息公开审核工作，所有拟发布信息均按照</w:t>
      </w:r>
      <w:r>
        <w:rPr>
          <w:rFonts w:hint="eastAsia" w:ascii="仿宋" w:hAnsi="仿宋" w:eastAsia="仿宋" w:cs="仿宋"/>
          <w:i w:val="0"/>
          <w:iCs w:val="0"/>
          <w:caps w:val="0"/>
          <w:color w:val="333333"/>
          <w:spacing w:val="0"/>
          <w:sz w:val="28"/>
          <w:szCs w:val="28"/>
          <w:shd w:val="clear" w:fill="FFFFFF"/>
          <w:lang w:val="en-US" w:eastAsia="zh-CN"/>
        </w:rPr>
        <w:t>正规</w:t>
      </w:r>
      <w:r>
        <w:rPr>
          <w:rFonts w:hint="eastAsia" w:ascii="仿宋" w:hAnsi="仿宋" w:eastAsia="仿宋" w:cs="仿宋"/>
          <w:i w:val="0"/>
          <w:iCs w:val="0"/>
          <w:caps w:val="0"/>
          <w:color w:val="333333"/>
          <w:spacing w:val="0"/>
          <w:sz w:val="28"/>
          <w:szCs w:val="28"/>
          <w:shd w:val="clear" w:fill="FFFFFF"/>
        </w:rPr>
        <w:t>流程进行，各级审核人员对信息内容层层把关，对信息的时效性，内容的真实性、准确性、完整性和安全性以及涉密情况进行审核，并提出是否公开意见。已公开的政府信息中未涉及国家秘密、商业秘密和个人隐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b w:val="0"/>
          <w:i w:val="0"/>
          <w:caps w:val="0"/>
          <w:color w:val="000000"/>
          <w:spacing w:val="0"/>
          <w:sz w:val="28"/>
          <w:szCs w:val="28"/>
          <w:shd w:val="clear" w:fill="FFFFFF"/>
        </w:rPr>
      </w:pPr>
      <w:r>
        <w:rPr>
          <w:rFonts w:hint="eastAsia" w:ascii="仿宋" w:hAnsi="仿宋" w:eastAsia="仿宋" w:cs="仿宋"/>
          <w:b/>
          <w:bCs/>
          <w:sz w:val="28"/>
          <w:szCs w:val="28"/>
          <w:lang w:val="en-US" w:eastAsia="zh-CN"/>
        </w:rPr>
        <w:t>（四）信息公开平台建设方面。</w:t>
      </w:r>
      <w:r>
        <w:rPr>
          <w:rFonts w:hint="eastAsia" w:ascii="仿宋" w:hAnsi="仿宋" w:eastAsia="仿宋" w:cs="仿宋"/>
          <w:i w:val="0"/>
          <w:iCs w:val="0"/>
          <w:caps w:val="0"/>
          <w:color w:val="333333"/>
          <w:spacing w:val="0"/>
          <w:sz w:val="28"/>
          <w:szCs w:val="28"/>
          <w:shd w:val="clear" w:fill="FFFFFF"/>
        </w:rPr>
        <w:t>2020年度，</w:t>
      </w:r>
      <w:r>
        <w:rPr>
          <w:rFonts w:hint="eastAsia" w:ascii="仿宋" w:hAnsi="仿宋" w:eastAsia="仿宋" w:cs="仿宋"/>
          <w:i w:val="0"/>
          <w:iCs w:val="0"/>
          <w:caps w:val="0"/>
          <w:color w:val="333333"/>
          <w:spacing w:val="0"/>
          <w:sz w:val="28"/>
          <w:szCs w:val="28"/>
          <w:shd w:val="clear" w:fill="FFFFFF"/>
          <w:lang w:val="en-US" w:eastAsia="zh-CN"/>
        </w:rPr>
        <w:t>丰城</w:t>
      </w:r>
      <w:r>
        <w:rPr>
          <w:rFonts w:hint="eastAsia" w:ascii="仿宋" w:hAnsi="仿宋" w:eastAsia="仿宋" w:cs="仿宋"/>
          <w:i w:val="0"/>
          <w:iCs w:val="0"/>
          <w:caps w:val="0"/>
          <w:color w:val="333333"/>
          <w:spacing w:val="0"/>
          <w:sz w:val="28"/>
          <w:szCs w:val="28"/>
          <w:shd w:val="clear" w:fill="FFFFFF"/>
        </w:rPr>
        <w:t>市统计局根据新发展需要，不断完善平台建设</w:t>
      </w:r>
      <w:r>
        <w:rPr>
          <w:rFonts w:hint="eastAsia" w:ascii="仿宋" w:hAnsi="仿宋" w:eastAsia="仿宋" w:cs="仿宋"/>
          <w:i w:val="0"/>
          <w:iCs w:val="0"/>
          <w:caps w:val="0"/>
          <w:color w:val="333333"/>
          <w:spacing w:val="0"/>
          <w:sz w:val="28"/>
          <w:szCs w:val="28"/>
          <w:shd w:val="clear" w:fill="FFFFFF"/>
          <w:lang w:eastAsia="zh-CN"/>
        </w:rPr>
        <w:t>。</w:t>
      </w:r>
      <w:r>
        <w:rPr>
          <w:rFonts w:hint="eastAsia" w:ascii="仿宋" w:hAnsi="仿宋" w:eastAsia="仿宋" w:cs="仿宋"/>
          <w:sz w:val="28"/>
          <w:szCs w:val="28"/>
          <w:lang w:val="en-US" w:eastAsia="zh-CN"/>
        </w:rPr>
        <w:t>为确保政府信息公开工作持续良好开展，我局严格落实政务公开规定，细化工作任务，形成由分管领导牵头、各科室及各下属事业单位认真落实的政务公开工作机制。同时安排1名联络员负责政府信息公开内容维护、组织协调等日常工作，在2020年政府新网站迁移上，主动认领责任，</w:t>
      </w:r>
      <w:r>
        <w:rPr>
          <w:rFonts w:hint="eastAsia" w:ascii="仿宋" w:hAnsi="仿宋" w:eastAsia="仿宋" w:cs="仿宋"/>
          <w:b w:val="0"/>
          <w:i w:val="0"/>
          <w:caps w:val="0"/>
          <w:color w:val="000000"/>
          <w:spacing w:val="0"/>
          <w:sz w:val="28"/>
          <w:szCs w:val="28"/>
          <w:shd w:val="clear" w:fill="FFFFFF"/>
          <w:lang w:eastAsia="zh-CN"/>
        </w:rPr>
        <w:t>保证了信息公开工作有序、有效推进</w:t>
      </w:r>
      <w:r>
        <w:rPr>
          <w:rFonts w:hint="eastAsia" w:ascii="仿宋" w:hAnsi="仿宋" w:eastAsia="仿宋" w:cs="仿宋"/>
          <w:sz w:val="28"/>
          <w:szCs w:val="28"/>
          <w:lang w:val="en-US"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rightChars="0" w:firstLine="562" w:firstLineChars="200"/>
        <w:textAlignment w:val="auto"/>
        <w:rPr>
          <w:rFonts w:hint="eastAsia"/>
          <w:lang w:val="en-US" w:eastAsia="zh-CN"/>
        </w:rPr>
      </w:pPr>
      <w:r>
        <w:rPr>
          <w:rFonts w:hint="eastAsia" w:ascii="仿宋" w:hAnsi="仿宋" w:eastAsia="仿宋" w:cs="仿宋"/>
          <w:b/>
          <w:bCs/>
          <w:sz w:val="28"/>
          <w:szCs w:val="28"/>
          <w:lang w:val="en-US" w:eastAsia="zh-CN"/>
        </w:rPr>
        <w:t>（五）监督保障方面。</w:t>
      </w:r>
      <w:r>
        <w:rPr>
          <w:rFonts w:hint="eastAsia" w:ascii="仿宋" w:hAnsi="仿宋" w:eastAsia="仿宋" w:cs="仿宋"/>
          <w:sz w:val="28"/>
          <w:szCs w:val="28"/>
          <w:lang w:val="en-US" w:eastAsia="zh-CN"/>
        </w:rPr>
        <w:t>2020年，</w:t>
      </w:r>
      <w:r>
        <w:rPr>
          <w:rFonts w:hint="eastAsia" w:ascii="仿宋" w:hAnsi="仿宋" w:eastAsia="仿宋" w:cs="仿宋"/>
          <w:b w:val="0"/>
          <w:i w:val="0"/>
          <w:caps w:val="0"/>
          <w:color w:val="000000"/>
          <w:spacing w:val="0"/>
          <w:sz w:val="28"/>
          <w:szCs w:val="28"/>
          <w:shd w:val="clear" w:fill="FFFFFF"/>
          <w:lang w:val="en-US" w:eastAsia="zh-CN"/>
        </w:rPr>
        <w:t>丰城</w:t>
      </w:r>
      <w:r>
        <w:rPr>
          <w:rFonts w:hint="eastAsia" w:ascii="仿宋" w:hAnsi="仿宋" w:eastAsia="仿宋" w:cs="仿宋"/>
          <w:i w:val="0"/>
          <w:iCs w:val="0"/>
          <w:caps w:val="0"/>
          <w:color w:val="333333"/>
          <w:spacing w:val="0"/>
          <w:sz w:val="28"/>
          <w:szCs w:val="28"/>
          <w:shd w:val="clear" w:fill="FFFFFF"/>
        </w:rPr>
        <w:t>市统计局</w:t>
      </w:r>
      <w:r>
        <w:rPr>
          <w:rFonts w:hint="eastAsia" w:ascii="仿宋" w:hAnsi="仿宋" w:eastAsia="仿宋" w:cs="仿宋"/>
          <w:b w:val="0"/>
          <w:i w:val="0"/>
          <w:caps w:val="0"/>
          <w:color w:val="000000"/>
          <w:spacing w:val="0"/>
          <w:sz w:val="28"/>
          <w:szCs w:val="28"/>
          <w:shd w:val="clear" w:fill="FFFFFF"/>
          <w:lang w:eastAsia="zh-CN"/>
        </w:rPr>
        <w:t>以确保涉密信息不上网、上网信息不涉密的原则严格开展落实政府信息公开工作，对信息公开涉密情况进行审查，确保统计数据公开信息的安全。</w:t>
      </w:r>
    </w:p>
    <w:p>
      <w:pPr>
        <w:adjustRightInd/>
        <w:spacing w:line="240" w:lineRule="auto"/>
        <w:rPr>
          <w:rFonts w:ascii="黑体" w:hAnsi="黑体" w:eastAsia="黑体"/>
          <w:kern w:val="2"/>
          <w:sz w:val="28"/>
          <w:szCs w:val="28"/>
        </w:rPr>
      </w:pPr>
      <w:r>
        <w:rPr>
          <w:rFonts w:hint="eastAsia" w:ascii="黑体" w:hAnsi="黑体" w:eastAsia="黑体"/>
          <w:kern w:val="2"/>
          <w:sz w:val="28"/>
          <w:szCs w:val="28"/>
        </w:rPr>
        <w:t>二、主动公开政府信息情况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1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top"/>
          </w:tcPr>
          <w:p>
            <w:pPr>
              <w:adjustRightInd/>
              <w:spacing w:line="240" w:lineRule="auto"/>
              <w:jc w:val="center"/>
              <w:rPr>
                <w:rFonts w:hint="eastAsia"/>
                <w:kern w:val="2"/>
                <w:szCs w:val="24"/>
              </w:rPr>
            </w:pPr>
            <w:r>
              <w:rPr>
                <w:rFonts w:hint="eastAsia"/>
                <w:kern w:val="2"/>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本年新制作数量</w:t>
            </w:r>
          </w:p>
        </w:tc>
        <w:tc>
          <w:tcPr>
            <w:tcW w:w="2131" w:type="dxa"/>
            <w:vAlign w:val="center"/>
          </w:tcPr>
          <w:p>
            <w:pPr>
              <w:adjustRightInd/>
              <w:spacing w:line="240" w:lineRule="auto"/>
              <w:jc w:val="center"/>
              <w:rPr>
                <w:rFonts w:hint="eastAsia"/>
                <w:kern w:val="2"/>
                <w:szCs w:val="24"/>
              </w:rPr>
            </w:pPr>
            <w:r>
              <w:rPr>
                <w:rFonts w:hint="eastAsia"/>
                <w:kern w:val="2"/>
                <w:szCs w:val="24"/>
              </w:rPr>
              <w:t>本年新公开数量</w:t>
            </w:r>
          </w:p>
        </w:tc>
        <w:tc>
          <w:tcPr>
            <w:tcW w:w="2131" w:type="dxa"/>
            <w:vAlign w:val="center"/>
          </w:tcPr>
          <w:p>
            <w:pPr>
              <w:adjustRightInd/>
              <w:spacing w:line="240" w:lineRule="auto"/>
              <w:jc w:val="center"/>
              <w:rPr>
                <w:rFonts w:hint="eastAsia"/>
                <w:kern w:val="2"/>
                <w:szCs w:val="24"/>
              </w:rPr>
            </w:pPr>
            <w:r>
              <w:rPr>
                <w:rFonts w:hint="eastAsia"/>
                <w:kern w:val="2"/>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规章</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规范性文件</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行政许可</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其他对外管理服务事项</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第二十六条第（六）项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r>
              <w:rPr>
                <w:rFonts w:hint="eastAsia"/>
                <w:kern w:val="2"/>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行政处罚</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行政强制</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上一年项目数量</w:t>
            </w:r>
          </w:p>
        </w:tc>
        <w:tc>
          <w:tcPr>
            <w:tcW w:w="2131" w:type="dxa"/>
            <w:vAlign w:val="center"/>
          </w:tcPr>
          <w:p>
            <w:pPr>
              <w:adjustRightInd/>
              <w:spacing w:line="240" w:lineRule="auto"/>
              <w:jc w:val="center"/>
              <w:rPr>
                <w:rFonts w:hint="eastAsia"/>
                <w:kern w:val="2"/>
                <w:szCs w:val="24"/>
              </w:rPr>
            </w:pPr>
            <w:r>
              <w:rPr>
                <w:rFonts w:hint="eastAsia"/>
                <w:kern w:val="2"/>
                <w:szCs w:val="24"/>
              </w:rPr>
              <w:t>本年增/减</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行政事业性收费</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0</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adjustRightInd/>
              <w:spacing w:line="240" w:lineRule="auto"/>
              <w:jc w:val="center"/>
              <w:rPr>
                <w:rFonts w:hint="eastAsia"/>
                <w:kern w:val="2"/>
                <w:szCs w:val="24"/>
              </w:rPr>
            </w:pPr>
            <w:r>
              <w:rPr>
                <w:rFonts w:hint="eastAsia"/>
                <w:kern w:val="2"/>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jc w:val="center"/>
              <w:rPr>
                <w:rFonts w:hint="eastAsia"/>
                <w:kern w:val="2"/>
                <w:szCs w:val="24"/>
              </w:rPr>
            </w:pPr>
            <w:r>
              <w:rPr>
                <w:rFonts w:hint="eastAsia"/>
                <w:kern w:val="2"/>
                <w:szCs w:val="24"/>
              </w:rPr>
              <w:t>信息内容</w:t>
            </w:r>
          </w:p>
        </w:tc>
        <w:tc>
          <w:tcPr>
            <w:tcW w:w="1812" w:type="dxa"/>
            <w:vAlign w:val="center"/>
          </w:tcPr>
          <w:p>
            <w:pPr>
              <w:adjustRightInd/>
              <w:spacing w:line="240" w:lineRule="auto"/>
              <w:jc w:val="center"/>
              <w:rPr>
                <w:rFonts w:hint="eastAsia"/>
                <w:kern w:val="2"/>
                <w:szCs w:val="24"/>
              </w:rPr>
            </w:pPr>
            <w:r>
              <w:rPr>
                <w:rFonts w:hint="eastAsia"/>
                <w:kern w:val="2"/>
                <w:szCs w:val="24"/>
              </w:rPr>
              <w:t>采购项目数量</w:t>
            </w:r>
          </w:p>
        </w:tc>
        <w:tc>
          <w:tcPr>
            <w:tcW w:w="2131" w:type="dxa"/>
            <w:vAlign w:val="center"/>
          </w:tcPr>
          <w:p>
            <w:pPr>
              <w:adjustRightInd/>
              <w:spacing w:line="240" w:lineRule="auto"/>
              <w:jc w:val="center"/>
              <w:rPr>
                <w:rFonts w:hint="eastAsia"/>
                <w:kern w:val="2"/>
                <w:szCs w:val="24"/>
              </w:rPr>
            </w:pPr>
            <w:r>
              <w:rPr>
                <w:rFonts w:hint="eastAsia"/>
                <w:kern w:val="2"/>
                <w:szCs w:val="24"/>
              </w:rPr>
              <w:t>采购总金额</w:t>
            </w:r>
          </w:p>
        </w:tc>
        <w:tc>
          <w:tcPr>
            <w:tcW w:w="2131" w:type="dxa"/>
            <w:vAlign w:val="center"/>
          </w:tcPr>
          <w:p>
            <w:pPr>
              <w:adjustRightInd/>
              <w:spacing w:line="240" w:lineRule="auto"/>
              <w:jc w:val="center"/>
              <w:rPr>
                <w:rFonts w:hint="eastAsia"/>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adjustRightInd/>
              <w:spacing w:line="240" w:lineRule="auto"/>
              <w:rPr>
                <w:rFonts w:hint="eastAsia"/>
                <w:kern w:val="2"/>
                <w:szCs w:val="24"/>
              </w:rPr>
            </w:pPr>
            <w:r>
              <w:rPr>
                <w:rFonts w:hint="eastAsia"/>
                <w:kern w:val="2"/>
                <w:szCs w:val="24"/>
              </w:rPr>
              <w:t>政府集中采购</w:t>
            </w:r>
          </w:p>
        </w:tc>
        <w:tc>
          <w:tcPr>
            <w:tcW w:w="1812" w:type="dxa"/>
            <w:vAlign w:val="center"/>
          </w:tcPr>
          <w:p>
            <w:pPr>
              <w:adjustRightInd/>
              <w:spacing w:line="240" w:lineRule="auto"/>
              <w:jc w:val="center"/>
              <w:rPr>
                <w:rFonts w:hint="eastAsia" w:eastAsia="宋体"/>
                <w:kern w:val="2"/>
                <w:szCs w:val="24"/>
                <w:lang w:val="en-US" w:eastAsia="zh-CN"/>
              </w:rPr>
            </w:pPr>
            <w:r>
              <w:rPr>
                <w:rFonts w:hint="eastAsia"/>
                <w:kern w:val="2"/>
                <w:szCs w:val="24"/>
                <w:lang w:val="en-US" w:eastAsia="zh-CN"/>
              </w:rPr>
              <w:t>1</w:t>
            </w:r>
          </w:p>
        </w:tc>
        <w:tc>
          <w:tcPr>
            <w:tcW w:w="2131" w:type="dxa"/>
            <w:vAlign w:val="center"/>
          </w:tcPr>
          <w:p>
            <w:pPr>
              <w:adjustRightInd/>
              <w:spacing w:line="240" w:lineRule="auto"/>
              <w:jc w:val="center"/>
              <w:rPr>
                <w:rFonts w:hint="default" w:eastAsia="宋体"/>
                <w:kern w:val="2"/>
                <w:szCs w:val="24"/>
                <w:lang w:val="en-US" w:eastAsia="zh-CN"/>
              </w:rPr>
            </w:pPr>
            <w:r>
              <w:rPr>
                <w:rFonts w:hint="eastAsia"/>
                <w:kern w:val="2"/>
                <w:szCs w:val="24"/>
                <w:lang w:val="en-US" w:eastAsia="zh-CN"/>
              </w:rPr>
              <w:t>114.7万元</w:t>
            </w:r>
          </w:p>
        </w:tc>
        <w:tc>
          <w:tcPr>
            <w:tcW w:w="2131" w:type="dxa"/>
            <w:vAlign w:val="center"/>
          </w:tcPr>
          <w:p>
            <w:pPr>
              <w:adjustRightInd/>
              <w:spacing w:line="240" w:lineRule="auto"/>
              <w:jc w:val="center"/>
              <w:rPr>
                <w:rFonts w:hint="eastAsia"/>
                <w:kern w:val="2"/>
                <w:szCs w:val="24"/>
              </w:rPr>
            </w:pPr>
          </w:p>
        </w:tc>
      </w:tr>
    </w:tbl>
    <w:p>
      <w:pPr>
        <w:adjustRightInd/>
        <w:spacing w:line="240" w:lineRule="auto"/>
        <w:ind w:firstLine="420" w:firstLineChars="0"/>
        <w:rPr>
          <w:rFonts w:hint="eastAsia"/>
          <w:kern w:val="2"/>
          <w:szCs w:val="24"/>
        </w:rPr>
      </w:pPr>
    </w:p>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三、收到和处理政府信息公开申请情况</w:t>
      </w:r>
    </w:p>
    <w:tbl>
      <w:tblPr>
        <w:tblStyle w:val="7"/>
        <w:tblW w:w="9468"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2700"/>
        <w:gridCol w:w="900"/>
        <w:gridCol w:w="600"/>
        <w:gridCol w:w="780"/>
        <w:gridCol w:w="780"/>
        <w:gridCol w:w="780"/>
        <w:gridCol w:w="78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 w:hRule="atLeast"/>
        </w:trPr>
        <w:tc>
          <w:tcPr>
            <w:tcW w:w="4068" w:type="dxa"/>
            <w:gridSpan w:val="3"/>
            <w:vMerge w:val="restart"/>
            <w:vAlign w:val="center"/>
          </w:tcPr>
          <w:p>
            <w:pPr>
              <w:adjustRightInd/>
              <w:spacing w:line="240" w:lineRule="auto"/>
              <w:rPr>
                <w:rFonts w:hint="eastAsia"/>
                <w:kern w:val="2"/>
                <w:sz w:val="18"/>
                <w:szCs w:val="18"/>
              </w:rPr>
            </w:pPr>
            <w:r>
              <w:rPr>
                <w:rFonts w:hint="eastAsia"/>
                <w:kern w:val="2"/>
                <w:sz w:val="18"/>
                <w:szCs w:val="18"/>
              </w:rPr>
              <w:t>（本列数据的勾稽关系为：第一项加第二项之和，等于第三项加第四项之和）</w:t>
            </w:r>
          </w:p>
        </w:tc>
        <w:tc>
          <w:tcPr>
            <w:tcW w:w="5400" w:type="dxa"/>
            <w:gridSpan w:val="7"/>
            <w:vAlign w:val="center"/>
          </w:tcPr>
          <w:p>
            <w:pPr>
              <w:adjustRightInd/>
              <w:spacing w:line="240" w:lineRule="auto"/>
              <w:jc w:val="center"/>
              <w:rPr>
                <w:rFonts w:hint="eastAsia"/>
                <w:kern w:val="2"/>
                <w:sz w:val="18"/>
                <w:szCs w:val="18"/>
              </w:rPr>
            </w:pPr>
            <w:r>
              <w:rPr>
                <w:rFonts w:hint="eastAsia"/>
                <w:kern w:val="2"/>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068" w:type="dxa"/>
            <w:gridSpan w:val="3"/>
            <w:vMerge w:val="continue"/>
            <w:vAlign w:val="top"/>
          </w:tcPr>
          <w:p>
            <w:pPr>
              <w:adjustRightInd/>
              <w:spacing w:line="240" w:lineRule="auto"/>
              <w:rPr>
                <w:rFonts w:hint="eastAsia"/>
                <w:kern w:val="2"/>
                <w:sz w:val="18"/>
                <w:szCs w:val="18"/>
              </w:rPr>
            </w:pPr>
          </w:p>
        </w:tc>
        <w:tc>
          <w:tcPr>
            <w:tcW w:w="900" w:type="dxa"/>
            <w:vMerge w:val="restart"/>
            <w:vAlign w:val="center"/>
          </w:tcPr>
          <w:p>
            <w:pPr>
              <w:adjustRightInd/>
              <w:spacing w:line="240" w:lineRule="auto"/>
              <w:jc w:val="center"/>
              <w:rPr>
                <w:rFonts w:hint="eastAsia"/>
                <w:kern w:val="2"/>
                <w:sz w:val="18"/>
                <w:szCs w:val="18"/>
              </w:rPr>
            </w:pPr>
            <w:r>
              <w:rPr>
                <w:rFonts w:hint="eastAsia"/>
                <w:kern w:val="2"/>
                <w:sz w:val="18"/>
                <w:szCs w:val="18"/>
              </w:rPr>
              <w:t>自然人</w:t>
            </w:r>
          </w:p>
        </w:tc>
        <w:tc>
          <w:tcPr>
            <w:tcW w:w="4500" w:type="dxa"/>
            <w:gridSpan w:val="6"/>
            <w:vAlign w:val="center"/>
          </w:tcPr>
          <w:p>
            <w:pPr>
              <w:adjustRightInd/>
              <w:spacing w:line="240" w:lineRule="auto"/>
              <w:jc w:val="center"/>
              <w:rPr>
                <w:rFonts w:hint="eastAsia"/>
                <w:kern w:val="2"/>
                <w:sz w:val="18"/>
                <w:szCs w:val="18"/>
              </w:rPr>
            </w:pPr>
            <w:r>
              <w:rPr>
                <w:rFonts w:hint="eastAsia"/>
                <w:kern w:val="2"/>
                <w:sz w:val="18"/>
                <w:szCs w:val="18"/>
              </w:rPr>
              <w:t>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trPr>
        <w:tc>
          <w:tcPr>
            <w:tcW w:w="4068" w:type="dxa"/>
            <w:gridSpan w:val="3"/>
            <w:vMerge w:val="continue"/>
            <w:vAlign w:val="top"/>
          </w:tcPr>
          <w:p>
            <w:pPr>
              <w:adjustRightInd/>
              <w:spacing w:line="240" w:lineRule="auto"/>
              <w:rPr>
                <w:rFonts w:hint="eastAsia"/>
                <w:kern w:val="2"/>
                <w:sz w:val="18"/>
                <w:szCs w:val="18"/>
              </w:rPr>
            </w:pPr>
          </w:p>
        </w:tc>
        <w:tc>
          <w:tcPr>
            <w:tcW w:w="900" w:type="dxa"/>
            <w:vMerge w:val="continue"/>
            <w:vAlign w:val="center"/>
          </w:tcPr>
          <w:p>
            <w:pPr>
              <w:adjustRightInd/>
              <w:spacing w:line="240" w:lineRule="auto"/>
              <w:jc w:val="center"/>
              <w:rPr>
                <w:rFonts w:hint="eastAsia"/>
                <w:kern w:val="2"/>
                <w:sz w:val="18"/>
                <w:szCs w:val="18"/>
              </w:rPr>
            </w:pPr>
          </w:p>
        </w:tc>
        <w:tc>
          <w:tcPr>
            <w:tcW w:w="600" w:type="dxa"/>
            <w:vAlign w:val="center"/>
          </w:tcPr>
          <w:p>
            <w:pPr>
              <w:adjustRightInd/>
              <w:spacing w:line="240" w:lineRule="auto"/>
              <w:jc w:val="center"/>
              <w:rPr>
                <w:rFonts w:hint="eastAsia"/>
                <w:kern w:val="2"/>
                <w:sz w:val="18"/>
                <w:szCs w:val="18"/>
              </w:rPr>
            </w:pPr>
            <w:r>
              <w:rPr>
                <w:rFonts w:hint="eastAsia"/>
                <w:kern w:val="2"/>
                <w:sz w:val="18"/>
                <w:szCs w:val="18"/>
              </w:rPr>
              <w:t>商业</w:t>
            </w:r>
          </w:p>
          <w:p>
            <w:pPr>
              <w:adjustRightInd/>
              <w:spacing w:line="240" w:lineRule="auto"/>
              <w:jc w:val="center"/>
              <w:rPr>
                <w:rFonts w:hint="eastAsia"/>
                <w:kern w:val="2"/>
                <w:sz w:val="18"/>
                <w:szCs w:val="18"/>
              </w:rPr>
            </w:pPr>
            <w:r>
              <w:rPr>
                <w:rFonts w:hint="eastAsia"/>
                <w:kern w:val="2"/>
                <w:sz w:val="18"/>
                <w:szCs w:val="18"/>
              </w:rPr>
              <w:t>企业</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科研</w:t>
            </w:r>
          </w:p>
          <w:p>
            <w:pPr>
              <w:adjustRightInd/>
              <w:spacing w:line="240" w:lineRule="auto"/>
              <w:jc w:val="center"/>
              <w:rPr>
                <w:rFonts w:hint="eastAsia"/>
                <w:kern w:val="2"/>
                <w:sz w:val="18"/>
                <w:szCs w:val="18"/>
              </w:rPr>
            </w:pPr>
            <w:r>
              <w:rPr>
                <w:rFonts w:hint="eastAsia"/>
                <w:kern w:val="2"/>
                <w:sz w:val="18"/>
                <w:szCs w:val="18"/>
              </w:rPr>
              <w:t>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社会公益组织</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法律服务机构</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其他</w:t>
            </w:r>
          </w:p>
        </w:tc>
        <w:tc>
          <w:tcPr>
            <w:tcW w:w="780"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一、本年新收政府信息公开申请数量</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二、上年结转政府信息公开申请数量</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648" w:type="dxa"/>
            <w:vMerge w:val="restart"/>
            <w:vAlign w:val="top"/>
          </w:tcPr>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eastAsia"/>
                <w:kern w:val="2"/>
                <w:sz w:val="18"/>
                <w:szCs w:val="18"/>
                <w:lang w:val="en-US" w:eastAsia="zh-CN"/>
              </w:rPr>
            </w:pPr>
          </w:p>
          <w:p>
            <w:pPr>
              <w:adjustRightInd/>
              <w:spacing w:line="240" w:lineRule="auto"/>
              <w:jc w:val="left"/>
              <w:rPr>
                <w:rFonts w:hint="default" w:eastAsia="宋体"/>
                <w:kern w:val="2"/>
                <w:sz w:val="18"/>
                <w:szCs w:val="18"/>
                <w:lang w:val="en-US" w:eastAsia="zh-CN"/>
              </w:rPr>
            </w:pPr>
            <w:r>
              <w:rPr>
                <w:rFonts w:hint="eastAsia"/>
                <w:kern w:val="2"/>
                <w:sz w:val="18"/>
                <w:szCs w:val="18"/>
                <w:lang w:val="en-US" w:eastAsia="zh-CN"/>
              </w:rPr>
              <w:t>三、本年度办理结果</w:t>
            </w: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（一）予以公开</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3420" w:type="dxa"/>
            <w:gridSpan w:val="2"/>
            <w:vAlign w:val="top"/>
          </w:tcPr>
          <w:p>
            <w:pPr>
              <w:adjustRightInd/>
              <w:spacing w:line="240" w:lineRule="auto"/>
              <w:rPr>
                <w:rFonts w:hint="eastAsia"/>
                <w:kern w:val="2"/>
                <w:sz w:val="18"/>
                <w:szCs w:val="18"/>
              </w:rPr>
            </w:pPr>
            <w:r>
              <w:rPr>
                <w:rFonts w:hint="eastAsia"/>
                <w:kern w:val="2"/>
                <w:sz w:val="18"/>
                <w:szCs w:val="18"/>
              </w:rPr>
              <w:t>（二）部分公开（区分处理的），只计这一情形，不计其他情形</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center"/>
          </w:tcPr>
          <w:p>
            <w:pPr>
              <w:adjustRightInd/>
              <w:spacing w:line="240" w:lineRule="auto"/>
              <w:jc w:val="center"/>
              <w:rPr>
                <w:rFonts w:hint="eastAsia"/>
                <w:kern w:val="2"/>
                <w:sz w:val="18"/>
                <w:szCs w:val="18"/>
              </w:rPr>
            </w:pPr>
            <w:r>
              <w:rPr>
                <w:rFonts w:hint="eastAsia"/>
                <w:kern w:val="2"/>
                <w:sz w:val="18"/>
                <w:szCs w:val="18"/>
              </w:rPr>
              <w:t>（三）不予</w:t>
            </w:r>
          </w:p>
          <w:p>
            <w:pPr>
              <w:adjustRightInd/>
              <w:spacing w:line="240" w:lineRule="auto"/>
              <w:jc w:val="center"/>
              <w:rPr>
                <w:rFonts w:hint="eastAsia"/>
                <w:kern w:val="2"/>
                <w:sz w:val="18"/>
                <w:szCs w:val="18"/>
              </w:rPr>
            </w:pPr>
            <w:r>
              <w:rPr>
                <w:rFonts w:hint="eastAsia"/>
                <w:kern w:val="2"/>
                <w:sz w:val="18"/>
                <w:szCs w:val="18"/>
              </w:rPr>
              <w:t>以公</w:t>
            </w:r>
          </w:p>
          <w:p>
            <w:pPr>
              <w:adjustRightInd/>
              <w:spacing w:line="240" w:lineRule="auto"/>
              <w:jc w:val="center"/>
              <w:rPr>
                <w:rFonts w:hint="eastAsia"/>
                <w:kern w:val="2"/>
                <w:sz w:val="18"/>
                <w:szCs w:val="18"/>
              </w:rPr>
            </w:pPr>
            <w:r>
              <w:rPr>
                <w:rFonts w:hint="eastAsia"/>
                <w:kern w:val="2"/>
                <w:sz w:val="18"/>
                <w:szCs w:val="18"/>
              </w:rPr>
              <w:t>开</w:t>
            </w:r>
          </w:p>
        </w:tc>
        <w:tc>
          <w:tcPr>
            <w:tcW w:w="2700" w:type="dxa"/>
            <w:vAlign w:val="center"/>
          </w:tcPr>
          <w:p>
            <w:pPr>
              <w:adjustRightInd/>
              <w:spacing w:line="240" w:lineRule="auto"/>
              <w:rPr>
                <w:rFonts w:hint="eastAsia"/>
                <w:kern w:val="2"/>
                <w:sz w:val="18"/>
                <w:szCs w:val="18"/>
              </w:rPr>
            </w:pPr>
            <w:r>
              <w:rPr>
                <w:rFonts w:hint="eastAsia"/>
                <w:kern w:val="2"/>
                <w:sz w:val="18"/>
                <w:szCs w:val="18"/>
              </w:rPr>
              <w:t>1、属于国家秘密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2、其他法律行政法规禁止公开</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3、危及“三安全一稳定”</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4、保护第三方合法权益</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5、属于第三类内部事务信息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6、属于四类过程性信息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7、属于行政执法案卷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8、属于行政查询事项</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（四）无法</w:t>
            </w:r>
          </w:p>
          <w:p>
            <w:pPr>
              <w:adjustRightInd/>
              <w:spacing w:line="240" w:lineRule="auto"/>
              <w:rPr>
                <w:rFonts w:hint="eastAsia"/>
                <w:kern w:val="2"/>
                <w:sz w:val="18"/>
                <w:szCs w:val="18"/>
              </w:rPr>
            </w:pPr>
            <w:r>
              <w:rPr>
                <w:rFonts w:hint="eastAsia"/>
                <w:kern w:val="2"/>
                <w:sz w:val="18"/>
                <w:szCs w:val="18"/>
              </w:rPr>
              <w:t>提供</w:t>
            </w:r>
          </w:p>
        </w:tc>
        <w:tc>
          <w:tcPr>
            <w:tcW w:w="2700" w:type="dxa"/>
            <w:vAlign w:val="center"/>
          </w:tcPr>
          <w:p>
            <w:pPr>
              <w:adjustRightInd/>
              <w:spacing w:line="240" w:lineRule="auto"/>
              <w:rPr>
                <w:rFonts w:hint="eastAsia"/>
                <w:kern w:val="2"/>
                <w:sz w:val="18"/>
                <w:szCs w:val="18"/>
              </w:rPr>
            </w:pPr>
            <w:r>
              <w:rPr>
                <w:rFonts w:hint="eastAsia"/>
                <w:kern w:val="2"/>
                <w:sz w:val="18"/>
                <w:szCs w:val="18"/>
              </w:rPr>
              <w:t>1、本机关不掌握相关政府信息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2、没有现成信息需要另行制作</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3、补正后申请内容仍不明确</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48" w:type="dxa"/>
            <w:vMerge w:val="continue"/>
            <w:vAlign w:val="top"/>
          </w:tcPr>
          <w:p>
            <w:pPr>
              <w:adjustRightInd/>
              <w:spacing w:line="240" w:lineRule="auto"/>
              <w:rPr>
                <w:rFonts w:hint="eastAsia"/>
                <w:kern w:val="2"/>
                <w:sz w:val="18"/>
                <w:szCs w:val="18"/>
              </w:rPr>
            </w:pPr>
          </w:p>
        </w:tc>
        <w:tc>
          <w:tcPr>
            <w:tcW w:w="720" w:type="dxa"/>
            <w:vMerge w:val="restart"/>
            <w:vAlign w:val="top"/>
          </w:tcPr>
          <w:p>
            <w:pPr>
              <w:adjustRightInd/>
              <w:spacing w:line="240" w:lineRule="auto"/>
              <w:rPr>
                <w:rFonts w:hint="eastAsia"/>
                <w:kern w:val="2"/>
                <w:sz w:val="18"/>
                <w:szCs w:val="18"/>
              </w:rPr>
            </w:pPr>
            <w:r>
              <w:rPr>
                <w:rFonts w:hint="eastAsia"/>
                <w:kern w:val="2"/>
                <w:sz w:val="18"/>
                <w:szCs w:val="18"/>
              </w:rPr>
              <w:t>（五）</w:t>
            </w:r>
          </w:p>
          <w:p>
            <w:pPr>
              <w:adjustRightInd/>
              <w:spacing w:line="240" w:lineRule="auto"/>
              <w:rPr>
                <w:rFonts w:hint="eastAsia"/>
                <w:kern w:val="2"/>
                <w:sz w:val="18"/>
                <w:szCs w:val="18"/>
              </w:rPr>
            </w:pPr>
            <w:r>
              <w:rPr>
                <w:rFonts w:hint="eastAsia"/>
                <w:kern w:val="2"/>
                <w:sz w:val="18"/>
                <w:szCs w:val="18"/>
              </w:rPr>
              <w:t>不予</w:t>
            </w:r>
          </w:p>
          <w:p>
            <w:pPr>
              <w:adjustRightInd/>
              <w:spacing w:line="240" w:lineRule="auto"/>
              <w:rPr>
                <w:rFonts w:hint="eastAsia"/>
                <w:kern w:val="2"/>
                <w:sz w:val="18"/>
                <w:szCs w:val="18"/>
              </w:rPr>
            </w:pPr>
            <w:r>
              <w:rPr>
                <w:rFonts w:hint="eastAsia"/>
                <w:kern w:val="2"/>
                <w:sz w:val="18"/>
                <w:szCs w:val="18"/>
              </w:rPr>
              <w:t>处理</w:t>
            </w:r>
          </w:p>
        </w:tc>
        <w:tc>
          <w:tcPr>
            <w:tcW w:w="2700" w:type="dxa"/>
            <w:vAlign w:val="center"/>
          </w:tcPr>
          <w:p>
            <w:pPr>
              <w:adjustRightInd/>
              <w:spacing w:line="240" w:lineRule="auto"/>
              <w:rPr>
                <w:rFonts w:hint="eastAsia"/>
                <w:kern w:val="2"/>
                <w:sz w:val="18"/>
                <w:szCs w:val="18"/>
              </w:rPr>
            </w:pPr>
            <w:r>
              <w:rPr>
                <w:rFonts w:hint="eastAsia"/>
                <w:kern w:val="2"/>
                <w:sz w:val="18"/>
                <w:szCs w:val="18"/>
              </w:rPr>
              <w:t>1、信访举报类申请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2、重复申请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default"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3、要求提供公开出版物</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4、无正当理由大量反复申请</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648" w:type="dxa"/>
            <w:vMerge w:val="continue"/>
            <w:vAlign w:val="top"/>
          </w:tcPr>
          <w:p>
            <w:pPr>
              <w:adjustRightInd/>
              <w:spacing w:line="240" w:lineRule="auto"/>
              <w:rPr>
                <w:rFonts w:hint="eastAsia"/>
                <w:kern w:val="2"/>
                <w:sz w:val="18"/>
                <w:szCs w:val="18"/>
              </w:rPr>
            </w:pPr>
          </w:p>
        </w:tc>
        <w:tc>
          <w:tcPr>
            <w:tcW w:w="720" w:type="dxa"/>
            <w:vMerge w:val="continue"/>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5、要求行政机关确认或重新出具已获取信息</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（六）其他处理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48" w:type="dxa"/>
            <w:vMerge w:val="continue"/>
            <w:vAlign w:val="top"/>
          </w:tcPr>
          <w:p>
            <w:pPr>
              <w:adjustRightInd/>
              <w:spacing w:line="240" w:lineRule="auto"/>
              <w:rPr>
                <w:rFonts w:hint="eastAsia"/>
                <w:kern w:val="2"/>
                <w:sz w:val="18"/>
                <w:szCs w:val="18"/>
              </w:rPr>
            </w:pPr>
          </w:p>
        </w:tc>
        <w:tc>
          <w:tcPr>
            <w:tcW w:w="720" w:type="dxa"/>
            <w:vAlign w:val="top"/>
          </w:tcPr>
          <w:p>
            <w:pPr>
              <w:adjustRightInd/>
              <w:spacing w:line="240" w:lineRule="auto"/>
              <w:rPr>
                <w:rFonts w:hint="eastAsia"/>
                <w:kern w:val="2"/>
                <w:sz w:val="18"/>
                <w:szCs w:val="18"/>
              </w:rPr>
            </w:pPr>
          </w:p>
        </w:tc>
        <w:tc>
          <w:tcPr>
            <w:tcW w:w="2700" w:type="dxa"/>
            <w:vAlign w:val="center"/>
          </w:tcPr>
          <w:p>
            <w:pPr>
              <w:adjustRightInd/>
              <w:spacing w:line="240" w:lineRule="auto"/>
              <w:rPr>
                <w:rFonts w:hint="eastAsia"/>
                <w:kern w:val="2"/>
                <w:sz w:val="18"/>
                <w:szCs w:val="18"/>
              </w:rPr>
            </w:pPr>
            <w:r>
              <w:rPr>
                <w:rFonts w:hint="eastAsia"/>
                <w:kern w:val="2"/>
                <w:sz w:val="18"/>
                <w:szCs w:val="18"/>
              </w:rPr>
              <w:t>（七）总计</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4068" w:type="dxa"/>
            <w:gridSpan w:val="3"/>
            <w:vAlign w:val="center"/>
          </w:tcPr>
          <w:p>
            <w:pPr>
              <w:adjustRightInd/>
              <w:spacing w:line="240" w:lineRule="auto"/>
              <w:rPr>
                <w:rFonts w:hint="eastAsia"/>
                <w:kern w:val="2"/>
                <w:sz w:val="18"/>
                <w:szCs w:val="18"/>
              </w:rPr>
            </w:pPr>
            <w:r>
              <w:rPr>
                <w:rFonts w:hint="eastAsia"/>
                <w:kern w:val="2"/>
                <w:sz w:val="18"/>
                <w:szCs w:val="18"/>
              </w:rPr>
              <w:t>四、结转下年度继续办理</w:t>
            </w:r>
          </w:p>
        </w:tc>
        <w:tc>
          <w:tcPr>
            <w:tcW w:w="9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60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c>
          <w:tcPr>
            <w:tcW w:w="780" w:type="dxa"/>
            <w:vAlign w:val="top"/>
          </w:tcPr>
          <w:p>
            <w:pPr>
              <w:adjustRightInd/>
              <w:spacing w:line="240" w:lineRule="auto"/>
              <w:rPr>
                <w:rFonts w:hint="eastAsia" w:eastAsia="宋体"/>
                <w:kern w:val="2"/>
                <w:sz w:val="18"/>
                <w:szCs w:val="18"/>
                <w:lang w:val="en-US" w:eastAsia="zh-CN"/>
              </w:rPr>
            </w:pPr>
            <w:r>
              <w:rPr>
                <w:rFonts w:hint="eastAsia"/>
                <w:kern w:val="2"/>
                <w:sz w:val="18"/>
                <w:szCs w:val="18"/>
                <w:lang w:val="en-US" w:eastAsia="zh-CN"/>
              </w:rPr>
              <w:t>0</w:t>
            </w:r>
          </w:p>
        </w:tc>
      </w:tr>
    </w:tbl>
    <w:p>
      <w:pPr>
        <w:adjustRightInd/>
        <w:spacing w:line="240" w:lineRule="auto"/>
        <w:rPr>
          <w:rFonts w:hint="eastAsia"/>
          <w:kern w:val="2"/>
          <w:szCs w:val="24"/>
        </w:rPr>
      </w:pPr>
    </w:p>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四、政府信息公开行政复议、行政诉讼情况</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69"/>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5"/>
            <w:vAlign w:val="center"/>
          </w:tcPr>
          <w:p>
            <w:pPr>
              <w:adjustRightInd/>
              <w:spacing w:line="240" w:lineRule="auto"/>
              <w:jc w:val="center"/>
              <w:rPr>
                <w:rFonts w:hint="eastAsia"/>
                <w:kern w:val="2"/>
                <w:szCs w:val="24"/>
              </w:rPr>
            </w:pPr>
            <w:r>
              <w:rPr>
                <w:rFonts w:hint="eastAsia"/>
                <w:kern w:val="2"/>
                <w:szCs w:val="24"/>
              </w:rPr>
              <w:t>行政复议</w:t>
            </w:r>
          </w:p>
        </w:tc>
        <w:tc>
          <w:tcPr>
            <w:tcW w:w="5680" w:type="dxa"/>
            <w:gridSpan w:val="10"/>
            <w:vAlign w:val="center"/>
          </w:tcPr>
          <w:p>
            <w:pPr>
              <w:adjustRightInd/>
              <w:spacing w:line="240" w:lineRule="auto"/>
              <w:jc w:val="center"/>
              <w:rPr>
                <w:rFonts w:hint="eastAsia"/>
                <w:kern w:val="2"/>
                <w:szCs w:val="24"/>
              </w:rPr>
            </w:pPr>
            <w:r>
              <w:rPr>
                <w:rFonts w:hint="eastAsia"/>
                <w:kern w:val="2"/>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9" w:type="dxa"/>
            <w:vMerge w:val="restart"/>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Merge w:val="restart"/>
            <w:vAlign w:val="center"/>
          </w:tcPr>
          <w:p>
            <w:pPr>
              <w:adjustRightInd/>
              <w:spacing w:line="240" w:lineRule="auto"/>
              <w:jc w:val="center"/>
              <w:rPr>
                <w:rFonts w:hint="eastAsia"/>
                <w:kern w:val="2"/>
                <w:sz w:val="18"/>
                <w:szCs w:val="18"/>
              </w:rPr>
            </w:pPr>
            <w:r>
              <w:rPr>
                <w:rFonts w:hint="eastAsia"/>
                <w:kern w:val="2"/>
                <w:sz w:val="18"/>
                <w:szCs w:val="18"/>
              </w:rPr>
              <w:t>总计</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未经复议直接起诉</w:t>
            </w:r>
          </w:p>
        </w:tc>
        <w:tc>
          <w:tcPr>
            <w:tcW w:w="2840" w:type="dxa"/>
            <w:gridSpan w:val="5"/>
            <w:vAlign w:val="center"/>
          </w:tcPr>
          <w:p>
            <w:pPr>
              <w:adjustRightInd/>
              <w:spacing w:line="240" w:lineRule="auto"/>
              <w:jc w:val="center"/>
              <w:rPr>
                <w:rFonts w:hint="eastAsia"/>
                <w:kern w:val="2"/>
                <w:szCs w:val="24"/>
              </w:rPr>
            </w:pPr>
            <w:r>
              <w:rPr>
                <w:rFonts w:hint="eastAsia"/>
                <w:kern w:val="2"/>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vAlign w:val="top"/>
          </w:tcPr>
          <w:p>
            <w:pPr>
              <w:adjustRightInd/>
              <w:spacing w:line="240" w:lineRule="auto"/>
              <w:rPr>
                <w:rFonts w:hint="eastAsia"/>
                <w:kern w:val="2"/>
                <w:szCs w:val="24"/>
              </w:rPr>
            </w:pPr>
          </w:p>
        </w:tc>
        <w:tc>
          <w:tcPr>
            <w:tcW w:w="569"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Merge w:val="continue"/>
            <w:vAlign w:val="top"/>
          </w:tcPr>
          <w:p>
            <w:pPr>
              <w:adjustRightInd/>
              <w:spacing w:line="240" w:lineRule="auto"/>
              <w:rPr>
                <w:rFonts w:hint="eastAsia"/>
                <w:kern w:val="2"/>
                <w:szCs w:val="24"/>
              </w:rPr>
            </w:pP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结果维持</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结果纠正</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其他结果</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尚未审结</w:t>
            </w:r>
          </w:p>
        </w:tc>
        <w:tc>
          <w:tcPr>
            <w:tcW w:w="568" w:type="dxa"/>
            <w:vAlign w:val="center"/>
          </w:tcPr>
          <w:p>
            <w:pPr>
              <w:adjustRightInd/>
              <w:spacing w:line="240" w:lineRule="auto"/>
              <w:jc w:val="center"/>
              <w:rPr>
                <w:rFonts w:hint="eastAsia"/>
                <w:kern w:val="2"/>
                <w:sz w:val="18"/>
                <w:szCs w:val="18"/>
              </w:rPr>
            </w:pPr>
            <w:r>
              <w:rPr>
                <w:rFonts w:hint="eastAsia"/>
                <w:kern w:val="2"/>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69"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9"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c>
          <w:tcPr>
            <w:tcW w:w="568" w:type="dxa"/>
            <w:vAlign w:val="top"/>
          </w:tcPr>
          <w:p>
            <w:pPr>
              <w:adjustRightInd/>
              <w:spacing w:line="240" w:lineRule="auto"/>
              <w:rPr>
                <w:rFonts w:hint="eastAsia" w:eastAsia="宋体"/>
                <w:kern w:val="2"/>
                <w:szCs w:val="24"/>
                <w:lang w:val="en-US" w:eastAsia="zh-CN"/>
              </w:rPr>
            </w:pPr>
            <w:r>
              <w:rPr>
                <w:rFonts w:hint="eastAsia"/>
                <w:kern w:val="2"/>
                <w:szCs w:val="24"/>
                <w:lang w:val="en-US" w:eastAsia="zh-CN"/>
              </w:rPr>
              <w:t>0</w:t>
            </w:r>
          </w:p>
        </w:tc>
      </w:tr>
    </w:tbl>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i w:val="0"/>
          <w:caps w:val="0"/>
          <w:color w:val="000000"/>
          <w:spacing w:val="0"/>
          <w:sz w:val="28"/>
          <w:szCs w:val="28"/>
          <w:shd w:val="clear" w:fill="FFFFFF"/>
          <w:lang w:eastAsia="zh-CN"/>
        </w:rPr>
      </w:pPr>
      <w:r>
        <w:rPr>
          <w:rFonts w:hint="eastAsia" w:ascii="仿宋_GB2312" w:hAnsi="仿宋_GB2312" w:eastAsia="仿宋_GB2312" w:cs="仿宋_GB2312"/>
          <w:b w:val="0"/>
          <w:i w:val="0"/>
          <w:caps w:val="0"/>
          <w:color w:val="000000"/>
          <w:spacing w:val="0"/>
          <w:sz w:val="28"/>
          <w:szCs w:val="28"/>
          <w:shd w:val="clear" w:fill="FFFFFF"/>
          <w:lang w:eastAsia="zh-CN"/>
        </w:rPr>
        <w:t>（一）存在的主要问题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2020年，丰城</w:t>
      </w:r>
      <w:r>
        <w:rPr>
          <w:rFonts w:hint="eastAsia" w:ascii="仿宋_GB2312" w:hAnsi="仿宋_GB2312" w:eastAsia="仿宋_GB2312" w:cs="仿宋_GB2312"/>
          <w:b w:val="0"/>
          <w:i w:val="0"/>
          <w:caps w:val="0"/>
          <w:color w:val="000000"/>
          <w:spacing w:val="0"/>
          <w:sz w:val="28"/>
          <w:szCs w:val="28"/>
          <w:shd w:val="clear" w:fill="FFFFFF"/>
          <w:lang w:eastAsia="zh-CN"/>
        </w:rPr>
        <w:t>市统计局的政务</w:t>
      </w:r>
      <w:r>
        <w:rPr>
          <w:rFonts w:hint="eastAsia" w:ascii="仿宋_GB2312" w:hAnsi="仿宋_GB2312" w:eastAsia="仿宋_GB2312" w:cs="仿宋_GB2312"/>
          <w:b w:val="0"/>
          <w:i w:val="0"/>
          <w:caps w:val="0"/>
          <w:color w:val="000000"/>
          <w:spacing w:val="0"/>
          <w:sz w:val="28"/>
          <w:szCs w:val="28"/>
          <w:shd w:val="clear" w:fill="FFFFFF"/>
          <w:lang w:val="en-US" w:eastAsia="zh-CN"/>
        </w:rPr>
        <w:t>信息</w:t>
      </w:r>
      <w:r>
        <w:rPr>
          <w:rFonts w:hint="eastAsia" w:ascii="仿宋_GB2312" w:hAnsi="仿宋_GB2312" w:eastAsia="仿宋_GB2312" w:cs="仿宋_GB2312"/>
          <w:b w:val="0"/>
          <w:i w:val="0"/>
          <w:caps w:val="0"/>
          <w:color w:val="000000"/>
          <w:spacing w:val="0"/>
          <w:sz w:val="28"/>
          <w:szCs w:val="28"/>
          <w:shd w:val="clear" w:fill="FFFFFF"/>
          <w:lang w:eastAsia="zh-CN"/>
        </w:rPr>
        <w:t>公开工作取得</w:t>
      </w:r>
      <w:r>
        <w:rPr>
          <w:rFonts w:hint="eastAsia" w:ascii="仿宋_GB2312" w:hAnsi="仿宋_GB2312" w:eastAsia="仿宋_GB2312" w:cs="仿宋_GB2312"/>
          <w:b w:val="0"/>
          <w:i w:val="0"/>
          <w:caps w:val="0"/>
          <w:color w:val="000000"/>
          <w:spacing w:val="0"/>
          <w:sz w:val="28"/>
          <w:szCs w:val="28"/>
          <w:shd w:val="clear" w:fill="FFFFFF"/>
          <w:lang w:val="en-US" w:eastAsia="zh-CN"/>
        </w:rPr>
        <w:t>了</w:t>
      </w:r>
      <w:r>
        <w:rPr>
          <w:rFonts w:hint="eastAsia" w:ascii="仿宋_GB2312" w:hAnsi="仿宋_GB2312" w:eastAsia="仿宋_GB2312" w:cs="仿宋_GB2312"/>
          <w:b w:val="0"/>
          <w:i w:val="0"/>
          <w:caps w:val="0"/>
          <w:color w:val="000000"/>
          <w:spacing w:val="0"/>
          <w:sz w:val="28"/>
          <w:szCs w:val="28"/>
          <w:shd w:val="clear" w:fill="FFFFFF"/>
          <w:lang w:eastAsia="zh-CN"/>
        </w:rPr>
        <w:t>一定</w:t>
      </w:r>
      <w:r>
        <w:rPr>
          <w:rFonts w:hint="eastAsia" w:ascii="仿宋_GB2312" w:hAnsi="仿宋_GB2312" w:eastAsia="仿宋_GB2312" w:cs="仿宋_GB2312"/>
          <w:b w:val="0"/>
          <w:i w:val="0"/>
          <w:caps w:val="0"/>
          <w:color w:val="000000"/>
          <w:spacing w:val="0"/>
          <w:sz w:val="28"/>
          <w:szCs w:val="28"/>
          <w:shd w:val="clear" w:fill="FFFFFF"/>
          <w:lang w:val="en-US" w:eastAsia="zh-CN"/>
        </w:rPr>
        <w:t>的成绩</w:t>
      </w:r>
      <w:r>
        <w:rPr>
          <w:rFonts w:hint="eastAsia" w:ascii="仿宋_GB2312" w:hAnsi="仿宋_GB2312" w:eastAsia="仿宋_GB2312" w:cs="仿宋_GB2312"/>
          <w:b w:val="0"/>
          <w:i w:val="0"/>
          <w:caps w:val="0"/>
          <w:color w:val="000000"/>
          <w:spacing w:val="0"/>
          <w:sz w:val="28"/>
          <w:szCs w:val="28"/>
          <w:shd w:val="clear" w:fill="FFFFFF"/>
          <w:lang w:eastAsia="zh-CN"/>
        </w:rPr>
        <w:t>，但</w:t>
      </w:r>
      <w:r>
        <w:rPr>
          <w:rFonts w:hint="eastAsia" w:ascii="仿宋_GB2312" w:hAnsi="仿宋_GB2312" w:eastAsia="仿宋_GB2312" w:cs="仿宋_GB2312"/>
          <w:b w:val="0"/>
          <w:i w:val="0"/>
          <w:caps w:val="0"/>
          <w:color w:val="000000"/>
          <w:spacing w:val="0"/>
          <w:sz w:val="28"/>
          <w:szCs w:val="28"/>
          <w:shd w:val="clear" w:fill="FFFFFF"/>
          <w:lang w:val="en-US" w:eastAsia="zh-CN"/>
        </w:rPr>
        <w:t>对照上级要求，还存在一定的差距。一</w:t>
      </w:r>
      <w:r>
        <w:rPr>
          <w:rFonts w:hint="eastAsia" w:ascii="仿宋_GB2312" w:hAnsi="仿宋_GB2312" w:eastAsia="仿宋_GB2312" w:cs="仿宋_GB2312"/>
          <w:b w:val="0"/>
          <w:i w:val="0"/>
          <w:caps w:val="0"/>
          <w:color w:val="000000"/>
          <w:spacing w:val="0"/>
          <w:sz w:val="28"/>
          <w:szCs w:val="28"/>
          <w:shd w:val="clear" w:fill="FFFFFF"/>
          <w:lang w:eastAsia="zh-CN"/>
        </w:rPr>
        <w:t>是政府信息公开意识有待进一步提高；</w:t>
      </w:r>
      <w:r>
        <w:rPr>
          <w:rFonts w:hint="eastAsia" w:ascii="仿宋_GB2312" w:hAnsi="仿宋_GB2312" w:eastAsia="仿宋_GB2312" w:cs="仿宋_GB2312"/>
          <w:b w:val="0"/>
          <w:i w:val="0"/>
          <w:caps w:val="0"/>
          <w:color w:val="000000"/>
          <w:spacing w:val="0"/>
          <w:sz w:val="28"/>
          <w:szCs w:val="28"/>
          <w:shd w:val="clear" w:fill="FFFFFF"/>
          <w:lang w:val="en-US" w:eastAsia="zh-CN"/>
        </w:rPr>
        <w:t>二</w:t>
      </w:r>
      <w:r>
        <w:rPr>
          <w:rFonts w:hint="eastAsia" w:ascii="仿宋_GB2312" w:hAnsi="仿宋_GB2312" w:eastAsia="仿宋_GB2312" w:cs="仿宋_GB2312"/>
          <w:b w:val="0"/>
          <w:i w:val="0"/>
          <w:caps w:val="0"/>
          <w:color w:val="000000"/>
          <w:spacing w:val="0"/>
          <w:sz w:val="28"/>
          <w:szCs w:val="28"/>
          <w:shd w:val="clear" w:fill="FFFFFF"/>
          <w:lang w:eastAsia="zh-CN"/>
        </w:rPr>
        <w:t>是政府信息公开网站栏目的建设和维护有待进一步加强；</w:t>
      </w:r>
      <w:r>
        <w:rPr>
          <w:rFonts w:hint="eastAsia" w:ascii="仿宋_GB2312" w:hAnsi="仿宋_GB2312" w:eastAsia="仿宋_GB2312" w:cs="仿宋_GB2312"/>
          <w:b w:val="0"/>
          <w:i w:val="0"/>
          <w:caps w:val="0"/>
          <w:color w:val="000000"/>
          <w:spacing w:val="0"/>
          <w:sz w:val="28"/>
          <w:szCs w:val="28"/>
          <w:shd w:val="clear" w:fill="FFFFFF"/>
          <w:lang w:val="en-US" w:eastAsia="zh-CN"/>
        </w:rPr>
        <w:t>三是政府信息公开工作的宣传力度有待进一步加强；四是政府信息公开在落实“公开为原则，不公开为例外”的要求上还需进一步加强。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i w:val="0"/>
          <w:caps w:val="0"/>
          <w:color w:val="000000"/>
          <w:spacing w:val="0"/>
          <w:sz w:val="28"/>
          <w:szCs w:val="28"/>
          <w:shd w:val="clear" w:fill="FFFFFF"/>
          <w:lang w:eastAsia="zh-CN"/>
        </w:rPr>
      </w:pPr>
      <w:r>
        <w:rPr>
          <w:rFonts w:hint="eastAsia" w:ascii="仿宋_GB2312" w:hAnsi="仿宋_GB2312" w:eastAsia="仿宋_GB2312" w:cs="仿宋_GB2312"/>
          <w:b w:val="0"/>
          <w:i w:val="0"/>
          <w:caps w:val="0"/>
          <w:color w:val="000000"/>
          <w:spacing w:val="0"/>
          <w:sz w:val="28"/>
          <w:szCs w:val="28"/>
          <w:shd w:val="clear" w:fill="FFFFFF"/>
          <w:lang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i w:val="0"/>
          <w:caps w:val="0"/>
          <w:color w:val="000000"/>
          <w:spacing w:val="0"/>
          <w:sz w:val="28"/>
          <w:szCs w:val="28"/>
          <w:shd w:val="clear" w:fill="FFFFFF"/>
          <w:lang w:eastAsia="zh-CN"/>
        </w:rPr>
      </w:pPr>
      <w:r>
        <w:rPr>
          <w:rFonts w:hint="eastAsia" w:ascii="仿宋_GB2312" w:hAnsi="仿宋_GB2312" w:eastAsia="仿宋_GB2312" w:cs="仿宋_GB2312"/>
          <w:b w:val="0"/>
          <w:i w:val="0"/>
          <w:caps w:val="0"/>
          <w:color w:val="000000"/>
          <w:spacing w:val="0"/>
          <w:sz w:val="28"/>
          <w:szCs w:val="28"/>
          <w:shd w:val="clear" w:fill="FFFFFF"/>
          <w:lang w:val="en-US" w:eastAsia="zh-CN"/>
        </w:rPr>
        <w:t>下一步工作中，丰城</w:t>
      </w:r>
      <w:r>
        <w:rPr>
          <w:rFonts w:hint="eastAsia" w:ascii="仿宋_GB2312" w:hAnsi="仿宋_GB2312" w:eastAsia="仿宋_GB2312" w:cs="仿宋_GB2312"/>
          <w:b w:val="0"/>
          <w:i w:val="0"/>
          <w:caps w:val="0"/>
          <w:color w:val="000000"/>
          <w:spacing w:val="0"/>
          <w:sz w:val="28"/>
          <w:szCs w:val="28"/>
          <w:shd w:val="clear" w:fill="FFFFFF"/>
          <w:lang w:eastAsia="zh-CN"/>
        </w:rPr>
        <w:t>市统计局</w:t>
      </w:r>
      <w:r>
        <w:rPr>
          <w:rFonts w:hint="eastAsia" w:ascii="仿宋_GB2312" w:hAnsi="仿宋_GB2312" w:eastAsia="仿宋_GB2312" w:cs="仿宋_GB2312"/>
          <w:b w:val="0"/>
          <w:i w:val="0"/>
          <w:caps w:val="0"/>
          <w:color w:val="000000"/>
          <w:spacing w:val="0"/>
          <w:sz w:val="28"/>
          <w:szCs w:val="28"/>
          <w:shd w:val="clear" w:fill="FFFFFF"/>
          <w:lang w:val="en-US" w:eastAsia="zh-CN"/>
        </w:rPr>
        <w:t>一方面将进一步加大与</w:t>
      </w:r>
      <w:r>
        <w:rPr>
          <w:rFonts w:hint="eastAsia" w:ascii="仿宋_GB2312" w:hAnsi="仿宋_GB2312" w:eastAsia="仿宋_GB2312" w:cs="仿宋_GB2312"/>
          <w:b w:val="0"/>
          <w:i w:val="0"/>
          <w:caps w:val="0"/>
          <w:color w:val="000000"/>
          <w:spacing w:val="0"/>
          <w:sz w:val="28"/>
          <w:szCs w:val="28"/>
          <w:shd w:val="clear" w:fill="FFFFFF"/>
          <w:lang w:eastAsia="zh-CN"/>
        </w:rPr>
        <w:t>社会发展和人民群众生活密切相关的政府信息公开力度，进一步加强政府信息公开的引导和宣传工作，提高全局公开意识，更好地满足社会公众对我</w:t>
      </w:r>
      <w:r>
        <w:rPr>
          <w:rFonts w:hint="default" w:ascii="仿宋_GB2312" w:hAnsi="仿宋_GB2312" w:eastAsia="仿宋_GB2312" w:cs="仿宋_GB2312"/>
          <w:b w:val="0"/>
          <w:i w:val="0"/>
          <w:caps w:val="0"/>
          <w:color w:val="000000"/>
          <w:spacing w:val="0"/>
          <w:sz w:val="28"/>
          <w:szCs w:val="28"/>
          <w:shd w:val="clear" w:fill="FFFFFF"/>
          <w:lang w:eastAsia="zh-CN"/>
        </w:rPr>
        <w:t>市</w:t>
      </w:r>
      <w:r>
        <w:rPr>
          <w:rFonts w:hint="eastAsia" w:ascii="仿宋_GB2312" w:hAnsi="仿宋_GB2312" w:eastAsia="仿宋_GB2312" w:cs="仿宋_GB2312"/>
          <w:b w:val="0"/>
          <w:i w:val="0"/>
          <w:caps w:val="0"/>
          <w:color w:val="000000"/>
          <w:spacing w:val="0"/>
          <w:sz w:val="28"/>
          <w:szCs w:val="28"/>
          <w:shd w:val="clear" w:fill="FFFFFF"/>
          <w:lang w:val="en-US" w:eastAsia="zh-CN"/>
        </w:rPr>
        <w:t>统计</w:t>
      </w:r>
      <w:r>
        <w:rPr>
          <w:rFonts w:hint="default" w:ascii="仿宋_GB2312" w:hAnsi="仿宋_GB2312" w:eastAsia="仿宋_GB2312" w:cs="仿宋_GB2312"/>
          <w:b w:val="0"/>
          <w:i w:val="0"/>
          <w:caps w:val="0"/>
          <w:color w:val="000000"/>
          <w:spacing w:val="0"/>
          <w:sz w:val="28"/>
          <w:szCs w:val="28"/>
          <w:shd w:val="clear" w:fill="FFFFFF"/>
          <w:lang w:eastAsia="zh-CN"/>
        </w:rPr>
        <w:t>工作的知情权、参与权和监督权，努力推动政府信息公开工作深入开展。</w:t>
      </w:r>
      <w:r>
        <w:rPr>
          <w:rFonts w:hint="eastAsia" w:ascii="仿宋_GB2312" w:hAnsi="仿宋_GB2312" w:eastAsia="仿宋_GB2312" w:cs="仿宋_GB2312"/>
          <w:b w:val="0"/>
          <w:i w:val="0"/>
          <w:caps w:val="0"/>
          <w:color w:val="000000"/>
          <w:spacing w:val="0"/>
          <w:sz w:val="28"/>
          <w:szCs w:val="28"/>
          <w:shd w:val="clear" w:fill="FFFFFF"/>
          <w:lang w:val="en-US" w:eastAsia="zh-CN"/>
        </w:rPr>
        <w:t>另一方面</w:t>
      </w:r>
      <w:r>
        <w:rPr>
          <w:rFonts w:hint="eastAsia" w:ascii="仿宋_GB2312" w:hAnsi="仿宋_GB2312" w:eastAsia="仿宋_GB2312" w:cs="仿宋_GB2312"/>
          <w:b w:val="0"/>
          <w:i w:val="0"/>
          <w:caps w:val="0"/>
          <w:color w:val="000000"/>
          <w:spacing w:val="0"/>
          <w:sz w:val="28"/>
          <w:szCs w:val="28"/>
          <w:shd w:val="clear" w:fill="FFFFFF"/>
          <w:lang w:eastAsia="zh-CN"/>
        </w:rPr>
        <w:t>着眼于便民利民，加强政府信息公开内容的日常维护工作，进一步改进和完善</w:t>
      </w:r>
      <w:r>
        <w:rPr>
          <w:rFonts w:hint="eastAsia" w:ascii="仿宋_GB2312" w:hAnsi="仿宋_GB2312" w:eastAsia="仿宋_GB2312" w:cs="仿宋_GB2312"/>
          <w:b w:val="0"/>
          <w:i w:val="0"/>
          <w:caps w:val="0"/>
          <w:color w:val="000000"/>
          <w:spacing w:val="0"/>
          <w:sz w:val="28"/>
          <w:szCs w:val="28"/>
          <w:shd w:val="clear" w:fill="FFFFFF"/>
          <w:lang w:val="en-US" w:eastAsia="zh-CN"/>
        </w:rPr>
        <w:t>丰城</w:t>
      </w:r>
      <w:r>
        <w:rPr>
          <w:rFonts w:hint="eastAsia" w:ascii="仿宋_GB2312" w:hAnsi="仿宋_GB2312" w:eastAsia="仿宋_GB2312" w:cs="仿宋_GB2312"/>
          <w:b w:val="0"/>
          <w:i w:val="0"/>
          <w:caps w:val="0"/>
          <w:color w:val="000000"/>
          <w:spacing w:val="0"/>
          <w:sz w:val="28"/>
          <w:szCs w:val="28"/>
          <w:shd w:val="clear" w:fill="FFFFFF"/>
          <w:lang w:eastAsia="zh-CN"/>
        </w:rPr>
        <w:t>市统计局</w:t>
      </w:r>
      <w:r>
        <w:rPr>
          <w:rFonts w:hint="eastAsia" w:ascii="仿宋_GB2312" w:hAnsi="仿宋_GB2312" w:eastAsia="仿宋_GB2312" w:cs="仿宋_GB2312"/>
          <w:b w:val="0"/>
          <w:i w:val="0"/>
          <w:caps w:val="0"/>
          <w:color w:val="000000"/>
          <w:spacing w:val="0"/>
          <w:sz w:val="28"/>
          <w:szCs w:val="28"/>
          <w:shd w:val="clear" w:fill="FFFFFF"/>
          <w:lang w:val="en-US" w:eastAsia="zh-CN"/>
        </w:rPr>
        <w:t>的</w:t>
      </w:r>
      <w:bookmarkStart w:id="0" w:name="_GoBack"/>
      <w:bookmarkEnd w:id="0"/>
      <w:r>
        <w:rPr>
          <w:rFonts w:hint="eastAsia" w:ascii="仿宋_GB2312" w:hAnsi="仿宋_GB2312" w:eastAsia="仿宋_GB2312" w:cs="仿宋_GB2312"/>
          <w:b w:val="0"/>
          <w:i w:val="0"/>
          <w:caps w:val="0"/>
          <w:color w:val="000000"/>
          <w:spacing w:val="0"/>
          <w:sz w:val="28"/>
          <w:szCs w:val="28"/>
          <w:shd w:val="clear" w:fill="FFFFFF"/>
          <w:lang w:eastAsia="zh-CN"/>
        </w:rPr>
        <w:t>门户网站，继续加大政府信息公开工作力度。</w:t>
      </w:r>
    </w:p>
    <w:p>
      <w:pPr>
        <w:adjustRightInd/>
        <w:spacing w:line="240" w:lineRule="auto"/>
        <w:rPr>
          <w:rFonts w:hint="eastAsia" w:ascii="黑体" w:hAnsi="黑体" w:eastAsia="黑体"/>
          <w:kern w:val="2"/>
          <w:sz w:val="28"/>
          <w:szCs w:val="28"/>
        </w:rPr>
      </w:pPr>
      <w:r>
        <w:rPr>
          <w:rFonts w:hint="eastAsia" w:ascii="黑体" w:hAnsi="黑体" w:eastAsia="黑体"/>
          <w:kern w:val="2"/>
          <w:sz w:val="28"/>
          <w:szCs w:val="28"/>
        </w:rPr>
        <w:t>六、其他需要报告的事项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eastAsia" w:ascii="仿宋_GB2312" w:hAnsi="仿宋_GB2312" w:eastAsia="仿宋_GB2312" w:cs="仿宋_GB2312"/>
          <w:b w:val="0"/>
          <w:i w:val="0"/>
          <w:caps w:val="0"/>
          <w:color w:val="000000"/>
          <w:spacing w:val="0"/>
          <w:sz w:val="28"/>
          <w:szCs w:val="28"/>
          <w:shd w:val="clear" w:fill="FFFFFF"/>
          <w:lang w:val="en-US" w:eastAsia="zh-CN"/>
        </w:rPr>
      </w:pPr>
      <w:r>
        <w:rPr>
          <w:rFonts w:hint="eastAsia" w:ascii="仿宋_GB2312" w:hAnsi="仿宋_GB2312" w:eastAsia="仿宋_GB2312" w:cs="仿宋_GB2312"/>
          <w:b w:val="0"/>
          <w:i w:val="0"/>
          <w:caps w:val="0"/>
          <w:color w:val="000000"/>
          <w:spacing w:val="0"/>
          <w:sz w:val="28"/>
          <w:szCs w:val="28"/>
          <w:shd w:val="clear" w:fill="FFFFFF"/>
          <w:lang w:eastAsia="zh-CN"/>
        </w:rPr>
        <w:t>本年度无其他需要报告的事项。</w:t>
      </w:r>
    </w:p>
    <w:p>
      <w:pPr>
        <w:rPr>
          <w:rFonts w:hint="eastAsia" w:eastAsia="宋体"/>
          <w:sz w:val="28"/>
          <w:szCs w:val="28"/>
          <w:lang w:eastAsia="zh-CN"/>
        </w:rPr>
      </w:pPr>
    </w:p>
    <w:p>
      <w:pPr>
        <w:keepNext w:val="0"/>
        <w:keepLines w:val="0"/>
        <w:pageBreakBefore w:val="0"/>
        <w:kinsoku/>
        <w:overflowPunct/>
        <w:topLinePunct w:val="0"/>
        <w:autoSpaceDE/>
        <w:autoSpaceDN/>
        <w:bidi w:val="0"/>
        <w:adjustRightInd/>
        <w:snapToGrid/>
        <w:spacing w:line="600" w:lineRule="exact"/>
        <w:ind w:firstLine="5760" w:firstLineChars="18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丰城市统计局</w:t>
      </w:r>
    </w:p>
    <w:p>
      <w:pPr>
        <w:keepNext w:val="0"/>
        <w:keepLines w:val="0"/>
        <w:pageBreakBefore w:val="0"/>
        <w:kinsoku/>
        <w:overflowPunct/>
        <w:topLinePunct w:val="0"/>
        <w:autoSpaceDE/>
        <w:autoSpaceDN/>
        <w:bidi w:val="0"/>
        <w:adjustRightInd/>
        <w:snapToGrid/>
        <w:spacing w:line="600" w:lineRule="exact"/>
        <w:ind w:firstLine="5440" w:firstLineChars="17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2021年1月18日</w:t>
      </w:r>
    </w:p>
    <w:p>
      <w:pPr>
        <w:pStyle w:val="2"/>
        <w:rPr>
          <w:rFonts w:hint="eastAsia"/>
          <w:lang w:eastAsia="zh-CN"/>
        </w:rPr>
      </w:pPr>
    </w:p>
    <w:sectPr>
      <w:footerReference r:id="rId3" w:type="default"/>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4875530</wp:posOffset>
              </wp:positionH>
              <wp:positionV relativeFrom="paragraph">
                <wp:posOffset>-161290</wp:posOffset>
              </wp:positionV>
              <wp:extent cx="505460" cy="2933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05460" cy="293370"/>
                      </a:xfrm>
                      <a:prstGeom prst="rect">
                        <a:avLst/>
                      </a:prstGeom>
                      <a:noFill/>
                      <a:ln w="9525">
                        <a:noFill/>
                      </a:ln>
                    </wps:spPr>
                    <wps:txbx>
                      <w:txbxContent>
                        <w:p>
                          <w:pPr>
                            <w:pStyle w:val="4"/>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wps:txbx>
                    <wps:bodyPr lIns="0" tIns="0" rIns="0" bIns="0" upright="0"/>
                  </wps:wsp>
                </a:graphicData>
              </a:graphic>
            </wp:anchor>
          </w:drawing>
        </mc:Choice>
        <mc:Fallback>
          <w:pict>
            <v:shape id="_x0000_s1026" o:spid="_x0000_s1026" o:spt="202" type="#_x0000_t202" style="position:absolute;left:0pt;margin-left:383.9pt;margin-top:-12.7pt;height:23.1pt;width:39.8pt;mso-position-horizontal-relative:margin;z-index:251659264;mso-width-relative:page;mso-height-relative:page;" filled="f" stroked="f" coordsize="21600,21600" o:gfxdata="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ww0l1NoAAAAKAQAADwAAAAAAAAABACAAAAAiAAAAZHJzL2Rvd25y&#10;ZXYueG1sUEsBAhQAFAAAAAgAh07iQNbWZyXDAQAAegMAAA4AAAAAAAAAAQAgAAAAKQEAAGRycy9l&#10;Mm9Eb2MueG1sUEsFBgAAAAAGAAYAWQEAAF4FAAAAAA==&#10;">
              <v:fill on="f" focussize="0,0"/>
              <v:stroke on="f"/>
              <v:imagedata o:title=""/>
              <o:lock v:ext="edit" aspectratio="f"/>
              <v:textbox inset="0mm,0mm,0mm,0mm">
                <w:txbxContent>
                  <w:p>
                    <w:pPr>
                      <w:pStyle w:val="4"/>
                      <w:jc w:val="center"/>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lang w:val="zh-CN"/>
                      </w:rPr>
                      <w:fldChar w:fldCharType="end"/>
                    </w:r>
                    <w:r>
                      <w:rPr>
                        <w:rFonts w:hint="eastAsia" w:ascii="宋体" w:hAnsi="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DAABD"/>
    <w:multiLevelType w:val="singleLevel"/>
    <w:tmpl w:val="BE8DAAB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41023"/>
    <w:rsid w:val="049F1593"/>
    <w:rsid w:val="09B954CD"/>
    <w:rsid w:val="0F021C91"/>
    <w:rsid w:val="105B6FD8"/>
    <w:rsid w:val="147F6F2B"/>
    <w:rsid w:val="151429F3"/>
    <w:rsid w:val="17C94133"/>
    <w:rsid w:val="1D11626A"/>
    <w:rsid w:val="1E5A7F51"/>
    <w:rsid w:val="2B8C13B8"/>
    <w:rsid w:val="2EB30C0E"/>
    <w:rsid w:val="32BD086A"/>
    <w:rsid w:val="352A6031"/>
    <w:rsid w:val="358575B1"/>
    <w:rsid w:val="35C17CE5"/>
    <w:rsid w:val="36E921E5"/>
    <w:rsid w:val="3760529B"/>
    <w:rsid w:val="3E016FCF"/>
    <w:rsid w:val="426B7D17"/>
    <w:rsid w:val="4C1F486A"/>
    <w:rsid w:val="53957046"/>
    <w:rsid w:val="54B90F24"/>
    <w:rsid w:val="5A341023"/>
    <w:rsid w:val="5A542D5B"/>
    <w:rsid w:val="64F92FEF"/>
    <w:rsid w:val="6A0C403C"/>
    <w:rsid w:val="6A4E0632"/>
    <w:rsid w:val="706F1424"/>
    <w:rsid w:val="7C8F13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customStyle="1" w:styleId="2">
    <w:name w:val="BodyText1I2"/>
    <w:basedOn w:val="1"/>
    <w:qFormat/>
    <w:uiPriority w:val="0"/>
    <w:pPr>
      <w:spacing w:line="240" w:lineRule="auto"/>
      <w:ind w:left="420" w:leftChars="200" w:firstLine="210"/>
      <w:jc w:val="both"/>
    </w:pPr>
  </w:style>
  <w:style w:type="paragraph" w:styleId="3">
    <w:name w:val="Body Text"/>
    <w:basedOn w:val="1"/>
    <w:uiPriority w:val="0"/>
    <w:rPr>
      <w:rFonts w:ascii="Times New Roman" w:hAnsi="Times New Roman"/>
      <w:sz w:val="20"/>
      <w:szCs w:val="20"/>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2020-11-18T06:53:00Z</dcterms:created>
  <dc:creator>Administrator</dc:creator>
  <cp:lastModifiedBy>357</cp:lastModifiedBy>
  <cp:lastPrinted>2021-01-18T02:06:00Z</cp:lastPrinted>
  <dcterms:modified xsi:type="dcterms:W3CDTF">2021-04-29T07:44:36Z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47C6AB96F5B4487D87A2DA7D60D92573</vt:lpwstr>
  </property>
</Properties>
</file>