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44"/>
          <w:szCs w:val="44"/>
        </w:rPr>
      </w:pPr>
    </w:p>
    <w:p>
      <w:pPr>
        <w:jc w:val="center"/>
        <w:rPr>
          <w:rFonts w:hint="eastAsia" w:asciiTheme="minorEastAsia" w:hAnsiTheme="minorEastAsia" w:eastAsiaTheme="minorEastAsia" w:cstheme="minorEastAsia"/>
          <w:sz w:val="44"/>
          <w:szCs w:val="44"/>
        </w:rPr>
      </w:pPr>
      <w:bookmarkStart w:id="0" w:name="_GoBack"/>
      <w:r>
        <w:rPr>
          <w:rFonts w:hint="eastAsia" w:asciiTheme="minorEastAsia" w:hAnsiTheme="minorEastAsia" w:eastAsiaTheme="minorEastAsia" w:cstheme="minorEastAsia"/>
          <w:sz w:val="44"/>
          <w:szCs w:val="44"/>
        </w:rPr>
        <w:t>江西省货物运输车辆超限超载治理办法</w:t>
      </w:r>
      <w:bookmarkEnd w:id="0"/>
    </w:p>
    <w:p>
      <w:pPr>
        <w:jc w:val="center"/>
        <w:rPr>
          <w:rFonts w:hint="eastAsia" w:asciiTheme="minorEastAsia" w:hAnsiTheme="minorEastAsia" w:eastAsiaTheme="minorEastAsia" w:cstheme="minorEastAsia"/>
          <w:sz w:val="44"/>
          <w:szCs w:val="44"/>
        </w:rPr>
      </w:pPr>
    </w:p>
    <w:p>
      <w:pPr>
        <w:ind w:firstLine="640" w:firstLineChars="200"/>
        <w:rPr>
          <w:rFonts w:ascii="楷体_GB2312" w:eastAsia="楷体_GB2312" w:cs="楷体_GB2312"/>
          <w:b w:val="0"/>
          <w:bCs w:val="0"/>
          <w:color w:val="333333"/>
          <w:sz w:val="32"/>
          <w:szCs w:val="32"/>
        </w:rPr>
      </w:pPr>
      <w:r>
        <w:rPr>
          <w:rFonts w:hint="eastAsia" w:ascii="楷体_GB2312" w:eastAsia="楷体_GB2312" w:cs="楷体_GB2312"/>
          <w:b w:val="0"/>
          <w:bCs w:val="0"/>
          <w:color w:val="333333"/>
          <w:sz w:val="32"/>
          <w:szCs w:val="32"/>
        </w:rPr>
        <w:t>（2017年12月26日江西省人民政府令第230号公布</w:t>
      </w:r>
      <w:r>
        <w:rPr>
          <w:rFonts w:ascii="楷体_GB2312" w:eastAsia="楷体_GB2312" w:cs="楷体_GB2312"/>
          <w:b w:val="0"/>
          <w:bCs w:val="0"/>
          <w:color w:val="333333"/>
          <w:sz w:val="32"/>
          <w:szCs w:val="32"/>
        </w:rPr>
        <w:t xml:space="preserve"> 2023年9月12日</w:t>
      </w:r>
      <w:r>
        <w:rPr>
          <w:rFonts w:hint="eastAsia" w:ascii="楷体_GB2312" w:eastAsia="楷体_GB2312" w:cs="楷体_GB2312"/>
          <w:b w:val="0"/>
          <w:bCs w:val="0"/>
          <w:color w:val="333333"/>
          <w:sz w:val="32"/>
          <w:szCs w:val="32"/>
        </w:rPr>
        <w:t>江西省人民政府令第</w:t>
      </w:r>
      <w:r>
        <w:rPr>
          <w:rFonts w:ascii="楷体_GB2312" w:eastAsia="楷体_GB2312" w:cs="楷体_GB2312"/>
          <w:b w:val="0"/>
          <w:bCs w:val="0"/>
          <w:color w:val="333333"/>
          <w:sz w:val="32"/>
          <w:szCs w:val="32"/>
        </w:rPr>
        <w:t>261</w:t>
      </w:r>
      <w:r>
        <w:rPr>
          <w:rFonts w:hint="eastAsia" w:ascii="楷体_GB2312" w:eastAsia="楷体_GB2312" w:cs="楷体_GB2312"/>
          <w:b w:val="0"/>
          <w:bCs w:val="0"/>
          <w:color w:val="333333"/>
          <w:sz w:val="32"/>
          <w:szCs w:val="32"/>
        </w:rPr>
        <w:t>号</w:t>
      </w:r>
      <w:r>
        <w:rPr>
          <w:rFonts w:ascii="楷体_GB2312" w:eastAsia="楷体_GB2312" w:cs="楷体_GB2312"/>
          <w:b w:val="0"/>
          <w:bCs w:val="0"/>
          <w:color w:val="333333"/>
          <w:sz w:val="32"/>
          <w:szCs w:val="32"/>
        </w:rPr>
        <w:t>修正</w:t>
      </w:r>
      <w:r>
        <w:rPr>
          <w:rFonts w:hint="eastAsia" w:ascii="楷体_GB2312" w:eastAsia="楷体_GB2312" w:cs="楷体_GB2312"/>
          <w:b w:val="0"/>
          <w:bCs w:val="0"/>
          <w:color w:val="333333"/>
          <w:sz w:val="32"/>
          <w:szCs w:val="32"/>
        </w:rPr>
        <w:t>）</w:t>
      </w:r>
    </w:p>
    <w:p>
      <w:pPr>
        <w:widowControl/>
        <w:spacing w:line="560" w:lineRule="exact"/>
        <w:rPr>
          <w:rFonts w:ascii="仿宋_GB2312" w:eastAsia="仿宋_GB2312" w:cs="Arial"/>
          <w:b w:val="0"/>
          <w:bCs w:val="0"/>
          <w:kern w:val="0"/>
          <w:sz w:val="32"/>
          <w:szCs w:val="32"/>
        </w:rPr>
      </w:pPr>
    </w:p>
    <w:p>
      <w:pPr>
        <w:jc w:val="center"/>
        <w:rPr>
          <w:rFonts w:ascii="黑体" w:eastAsia="黑体" w:cs="黑体"/>
          <w:b w:val="0"/>
          <w:bCs w:val="0"/>
          <w:color w:val="333333"/>
          <w:sz w:val="32"/>
          <w:szCs w:val="32"/>
        </w:rPr>
      </w:pPr>
      <w:r>
        <w:rPr>
          <w:rFonts w:hint="eastAsia" w:ascii="黑体" w:eastAsia="黑体" w:cs="黑体"/>
          <w:b w:val="0"/>
          <w:bCs w:val="0"/>
          <w:color w:val="333333"/>
          <w:sz w:val="32"/>
          <w:szCs w:val="32"/>
        </w:rPr>
        <w:t>第一章 总 则</w:t>
      </w:r>
    </w:p>
    <w:p>
      <w:pPr>
        <w:widowControl/>
        <w:spacing w:line="560" w:lineRule="exact"/>
        <w:ind w:firstLine="640" w:firstLineChars="200"/>
        <w:rPr>
          <w:rFonts w:ascii="黑体" w:eastAsia="黑体" w:cs="Arial"/>
          <w:b w:val="0"/>
          <w:bCs w:val="0"/>
          <w:kern w:val="0"/>
          <w:sz w:val="32"/>
          <w:szCs w:val="32"/>
        </w:rPr>
      </w:pPr>
    </w:p>
    <w:p>
      <w:pPr>
        <w:widowControl/>
        <w:spacing w:line="560" w:lineRule="exact"/>
        <w:ind w:firstLine="640" w:firstLineChars="200"/>
        <w:rPr>
          <w:rFonts w:ascii="仿宋_GB2312" w:eastAsia="仿宋_GB2312" w:cs="Arial"/>
          <w:b w:val="0"/>
          <w:bCs w:val="0"/>
          <w:kern w:val="0"/>
          <w:sz w:val="32"/>
          <w:szCs w:val="32"/>
        </w:rPr>
      </w:pPr>
      <w:r>
        <w:rPr>
          <w:rFonts w:hint="eastAsia" w:ascii="黑体" w:eastAsia="黑体" w:cs="黑体"/>
          <w:b w:val="0"/>
          <w:bCs w:val="0"/>
          <w:color w:val="333333"/>
          <w:sz w:val="32"/>
          <w:szCs w:val="32"/>
        </w:rPr>
        <w:t>第一条</w:t>
      </w:r>
      <w:r>
        <w:rPr>
          <w:rFonts w:hint="eastAsia" w:ascii="黑体" w:eastAsia="黑体" w:cs="Arial"/>
          <w:b w:val="0"/>
          <w:bCs w:val="0"/>
          <w:kern w:val="0"/>
          <w:sz w:val="32"/>
          <w:szCs w:val="32"/>
        </w:rPr>
        <w:t xml:space="preserve"> </w:t>
      </w:r>
      <w:r>
        <w:rPr>
          <w:rFonts w:hint="eastAsia" w:ascii="仿宋_GB2312" w:eastAsia="仿宋_GB2312" w:cs="Arial"/>
          <w:b w:val="0"/>
          <w:bCs w:val="0"/>
          <w:kern w:val="0"/>
          <w:sz w:val="32"/>
          <w:szCs w:val="32"/>
        </w:rPr>
        <w:t>为了加强货物运输车辆超限超载的治理，保护公民生命财产安全，保障公路完好畅通，根据《中华人民共和国公路法》《中华人民共和国道路交通安全法》《公路安全保护条例》和《江西省公路条例》等有关法律、法规，结合本省实际，制定本办法。</w:t>
      </w:r>
    </w:p>
    <w:p>
      <w:pPr>
        <w:widowControl/>
        <w:spacing w:line="560" w:lineRule="exact"/>
        <w:ind w:firstLine="640" w:firstLineChars="200"/>
        <w:rPr>
          <w:rFonts w:ascii="仿宋_GB2312" w:eastAsia="仿宋_GB2312" w:cs="Arial"/>
          <w:b w:val="0"/>
          <w:bCs w:val="0"/>
          <w:kern w:val="0"/>
          <w:sz w:val="32"/>
          <w:szCs w:val="32"/>
        </w:rPr>
      </w:pPr>
      <w:r>
        <w:rPr>
          <w:rFonts w:hint="eastAsia" w:ascii="黑体" w:eastAsia="黑体" w:cs="黑体"/>
          <w:b w:val="0"/>
          <w:bCs w:val="0"/>
          <w:color w:val="333333"/>
          <w:sz w:val="32"/>
          <w:szCs w:val="32"/>
        </w:rPr>
        <w:t>第二条</w:t>
      </w:r>
      <w:r>
        <w:rPr>
          <w:rFonts w:hint="eastAsia" w:ascii="黑体" w:eastAsia="黑体" w:cs="Arial"/>
          <w:b w:val="0"/>
          <w:bCs w:val="0"/>
          <w:kern w:val="0"/>
          <w:sz w:val="32"/>
          <w:szCs w:val="32"/>
        </w:rPr>
        <w:t xml:space="preserve"> </w:t>
      </w:r>
      <w:r>
        <w:rPr>
          <w:rFonts w:hint="eastAsia" w:ascii="仿宋_GB2312" w:eastAsia="仿宋_GB2312" w:cs="Arial"/>
          <w:b w:val="0"/>
          <w:bCs w:val="0"/>
          <w:kern w:val="0"/>
          <w:sz w:val="32"/>
          <w:szCs w:val="32"/>
        </w:rPr>
        <w:t>本省行政区域内货物运输车辆（以下简称货运车辆）超限超载运输的治理活动，适用本办法。</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本办法所称超限运输，是指货运车辆的车货外廓尺寸、轴荷、质量限值超过国家规定的标准或者公路交通标志标明的限载、限高、限宽、限长标准，在公路上行驶的行为。</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本办法所称超载运输，是指货运车辆载物超过核定载质量，在公路上行驶的行为。</w:t>
      </w:r>
    </w:p>
    <w:p>
      <w:pPr>
        <w:widowControl/>
        <w:spacing w:line="560" w:lineRule="exact"/>
        <w:ind w:firstLine="640" w:firstLineChars="200"/>
        <w:rPr>
          <w:rFonts w:ascii="仿宋_GB2312" w:eastAsia="仿宋_GB2312" w:cs="Arial"/>
          <w:b w:val="0"/>
          <w:bCs w:val="0"/>
          <w:kern w:val="0"/>
          <w:sz w:val="32"/>
          <w:szCs w:val="32"/>
        </w:rPr>
      </w:pPr>
      <w:r>
        <w:rPr>
          <w:rFonts w:hint="eastAsia" w:ascii="黑体" w:eastAsia="黑体" w:cs="黑体"/>
          <w:b w:val="0"/>
          <w:bCs w:val="0"/>
          <w:color w:val="333333"/>
          <w:sz w:val="32"/>
          <w:szCs w:val="32"/>
        </w:rPr>
        <w:t>第三条</w:t>
      </w:r>
      <w:r>
        <w:rPr>
          <w:rFonts w:hint="eastAsia" w:ascii="黑体" w:eastAsia="黑体" w:cs="Arial"/>
          <w:b w:val="0"/>
          <w:bCs w:val="0"/>
          <w:kern w:val="0"/>
          <w:sz w:val="32"/>
          <w:szCs w:val="32"/>
        </w:rPr>
        <w:t xml:space="preserve"> </w:t>
      </w:r>
      <w:r>
        <w:rPr>
          <w:rFonts w:hint="eastAsia" w:ascii="仿宋_GB2312" w:eastAsia="仿宋_GB2312" w:cs="Arial"/>
          <w:b w:val="0"/>
          <w:bCs w:val="0"/>
          <w:kern w:val="0"/>
          <w:sz w:val="32"/>
          <w:szCs w:val="32"/>
        </w:rPr>
        <w:t>县级以上人民政府是本行政区域内货运车辆超限超载治理工作的责任主体，应当将货运车辆超限超载治理工作纳入本级政府年度工作目标考核，建立健全治理工作协调机制，并将治理工作经费列入本级财政预算。</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乡镇人民政府应当协助做好本行政区域内货运车辆超限超载治理工作。</w:t>
      </w:r>
    </w:p>
    <w:p>
      <w:pPr>
        <w:widowControl/>
        <w:spacing w:line="560" w:lineRule="exact"/>
        <w:ind w:firstLine="640" w:firstLineChars="200"/>
        <w:rPr>
          <w:rFonts w:hint="eastAsia" w:ascii="仿宋_GB2312" w:eastAsia="仿宋_GB2312"/>
          <w:b w:val="0"/>
          <w:bCs w:val="0"/>
          <w:kern w:val="0"/>
          <w:sz w:val="32"/>
          <w:szCs w:val="32"/>
        </w:rPr>
      </w:pPr>
      <w:r>
        <w:rPr>
          <w:rFonts w:hint="eastAsia" w:ascii="黑体" w:eastAsia="黑体" w:cs="黑体"/>
          <w:b w:val="0"/>
          <w:bCs w:val="0"/>
          <w:color w:val="333333"/>
          <w:sz w:val="32"/>
          <w:szCs w:val="32"/>
        </w:rPr>
        <w:t>第四条</w:t>
      </w:r>
      <w:r>
        <w:rPr>
          <w:rFonts w:hint="eastAsia" w:ascii="黑体" w:eastAsia="黑体" w:cs="Arial"/>
          <w:b w:val="0"/>
          <w:bCs w:val="0"/>
          <w:kern w:val="0"/>
          <w:sz w:val="32"/>
          <w:szCs w:val="32"/>
        </w:rPr>
        <w:t xml:space="preserve"> </w:t>
      </w:r>
      <w:r>
        <w:rPr>
          <w:rFonts w:hint="eastAsia" w:ascii="仿宋_GB2312" w:eastAsia="仿宋_GB2312"/>
          <w:b w:val="0"/>
          <w:bCs w:val="0"/>
          <w:kern w:val="0"/>
          <w:sz w:val="32"/>
          <w:szCs w:val="32"/>
        </w:rPr>
        <w:t>县级以上人民政府交通运输主管部门</w:t>
      </w:r>
      <w:r>
        <w:rPr>
          <w:rFonts w:ascii="仿宋_GB2312" w:eastAsia="仿宋_GB2312"/>
          <w:b w:val="0"/>
          <w:bCs w:val="0"/>
          <w:kern w:val="0"/>
          <w:sz w:val="32"/>
          <w:szCs w:val="32"/>
        </w:rPr>
        <w:t>、</w:t>
      </w:r>
      <w:r>
        <w:rPr>
          <w:rFonts w:hint="eastAsia" w:ascii="仿宋_GB2312" w:eastAsia="仿宋_GB2312"/>
          <w:b w:val="0"/>
          <w:bCs w:val="0"/>
          <w:kern w:val="0"/>
          <w:sz w:val="32"/>
          <w:szCs w:val="32"/>
        </w:rPr>
        <w:t>公安机关交通管理部门按照职责分工</w:t>
      </w:r>
      <w:r>
        <w:rPr>
          <w:rFonts w:ascii="仿宋_GB2312" w:eastAsia="仿宋_GB2312"/>
          <w:b w:val="0"/>
          <w:bCs w:val="0"/>
          <w:kern w:val="0"/>
          <w:sz w:val="32"/>
          <w:szCs w:val="32"/>
        </w:rPr>
        <w:t>，</w:t>
      </w:r>
      <w:r>
        <w:rPr>
          <w:rFonts w:hint="eastAsia" w:ascii="仿宋_GB2312" w:eastAsia="仿宋_GB2312"/>
          <w:b w:val="0"/>
          <w:bCs w:val="0"/>
          <w:kern w:val="0"/>
          <w:sz w:val="32"/>
          <w:szCs w:val="32"/>
        </w:rPr>
        <w:t>负责本行政区域内货运车辆超限超载治理工作。县级以上交通运输综合执法机构按照职责分工具体承担行政执法工作。</w:t>
      </w:r>
    </w:p>
    <w:p>
      <w:pPr>
        <w:widowControl/>
        <w:spacing w:line="560" w:lineRule="exact"/>
        <w:ind w:firstLine="640" w:firstLineChars="200"/>
        <w:rPr>
          <w:rFonts w:ascii="仿宋_GB2312" w:eastAsia="仿宋_GB2312"/>
          <w:b w:val="0"/>
          <w:bCs w:val="0"/>
          <w:kern w:val="0"/>
          <w:sz w:val="32"/>
          <w:szCs w:val="32"/>
        </w:rPr>
      </w:pPr>
      <w:r>
        <w:rPr>
          <w:rFonts w:hint="eastAsia" w:ascii="仿宋_GB2312" w:eastAsia="仿宋_GB2312"/>
          <w:b w:val="0"/>
          <w:bCs w:val="0"/>
          <w:kern w:val="0"/>
          <w:sz w:val="32"/>
          <w:szCs w:val="32"/>
        </w:rPr>
        <w:t>县级以上人民政府发展改革、工业和信息化、市场监督管理、应急管理、财政、自然资源、住房和城乡建设、水利等部门应当按照各自职责</w:t>
      </w:r>
      <w:r>
        <w:rPr>
          <w:rFonts w:ascii="仿宋_GB2312" w:eastAsia="仿宋_GB2312"/>
          <w:b w:val="0"/>
          <w:bCs w:val="0"/>
          <w:kern w:val="0"/>
          <w:sz w:val="32"/>
          <w:szCs w:val="32"/>
        </w:rPr>
        <w:t>，</w:t>
      </w:r>
      <w:r>
        <w:rPr>
          <w:rFonts w:hint="eastAsia" w:ascii="仿宋_GB2312" w:eastAsia="仿宋_GB2312"/>
          <w:b w:val="0"/>
          <w:bCs w:val="0"/>
          <w:kern w:val="0"/>
          <w:sz w:val="32"/>
          <w:szCs w:val="32"/>
        </w:rPr>
        <w:t>做好货运车辆超限超载治理相关工作。</w:t>
      </w:r>
    </w:p>
    <w:p>
      <w:pPr>
        <w:widowControl/>
        <w:spacing w:line="560" w:lineRule="exact"/>
        <w:ind w:firstLine="640" w:firstLineChars="200"/>
        <w:rPr>
          <w:rFonts w:ascii="仿宋_GB2312" w:eastAsia="仿宋_GB2312" w:cs="Arial"/>
          <w:b w:val="0"/>
          <w:bCs w:val="0"/>
          <w:kern w:val="0"/>
          <w:sz w:val="32"/>
          <w:szCs w:val="32"/>
        </w:rPr>
      </w:pPr>
      <w:r>
        <w:rPr>
          <w:rFonts w:hint="eastAsia" w:ascii="黑体" w:eastAsia="黑体" w:cs="黑体"/>
          <w:b w:val="0"/>
          <w:bCs w:val="0"/>
          <w:color w:val="333333"/>
          <w:sz w:val="32"/>
          <w:szCs w:val="32"/>
        </w:rPr>
        <w:t>第五条</w:t>
      </w:r>
      <w:r>
        <w:rPr>
          <w:rFonts w:hint="eastAsia" w:ascii="黑体" w:eastAsia="黑体" w:cs="Arial"/>
          <w:b w:val="0"/>
          <w:bCs w:val="0"/>
          <w:kern w:val="0"/>
          <w:sz w:val="32"/>
          <w:szCs w:val="32"/>
        </w:rPr>
        <w:t xml:space="preserve"> </w:t>
      </w:r>
      <w:r>
        <w:rPr>
          <w:rFonts w:hint="eastAsia" w:ascii="仿宋_GB2312" w:eastAsia="仿宋_GB2312" w:cs="Arial"/>
          <w:b w:val="0"/>
          <w:bCs w:val="0"/>
          <w:kern w:val="0"/>
          <w:sz w:val="32"/>
          <w:szCs w:val="32"/>
        </w:rPr>
        <w:t>省人民政府交通运输主管部门应当会同有关部门建设全省统一的货运车辆超限超载治理信息平台,并与公共信用信息平台对接。</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设区的市、县（市、区）货运车辆超限超载治理信息应当纳入超限超载治理信息平台，提高超限超载治理信息化水平。</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县级以上人民政府交通运输主管部门、</w:t>
      </w:r>
      <w:r>
        <w:rPr>
          <w:rFonts w:ascii="仿宋_GB2312" w:eastAsia="仿宋_GB2312"/>
          <w:b w:val="0"/>
          <w:bCs w:val="0"/>
          <w:kern w:val="0"/>
          <w:sz w:val="32"/>
          <w:szCs w:val="32"/>
        </w:rPr>
        <w:t>交通运输综合执法机构</w:t>
      </w:r>
      <w:r>
        <w:rPr>
          <w:rFonts w:hint="eastAsia" w:ascii="仿宋_GB2312" w:eastAsia="仿宋_GB2312" w:cs="Arial"/>
          <w:b w:val="0"/>
          <w:bCs w:val="0"/>
          <w:kern w:val="0"/>
          <w:sz w:val="32"/>
          <w:szCs w:val="32"/>
        </w:rPr>
        <w:t>、公安机关交通管理部门等有关部门应当利用货运车辆超限超载治理信息平台，及时登记、抄告、公示货运车辆超限超载违法行为及处罚情况。</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县级以上人民政府交通运输主管部门和</w:t>
      </w:r>
      <w:r>
        <w:rPr>
          <w:rFonts w:ascii="仿宋_GB2312" w:eastAsia="仿宋_GB2312"/>
          <w:b w:val="0"/>
          <w:bCs w:val="0"/>
          <w:kern w:val="0"/>
          <w:sz w:val="32"/>
          <w:szCs w:val="32"/>
        </w:rPr>
        <w:t>交通运输综合执法机构</w:t>
      </w:r>
      <w:r>
        <w:rPr>
          <w:rFonts w:hint="eastAsia" w:ascii="仿宋_GB2312" w:eastAsia="仿宋_GB2312" w:cs="Arial"/>
          <w:b w:val="0"/>
          <w:bCs w:val="0"/>
          <w:kern w:val="0"/>
          <w:sz w:val="32"/>
          <w:szCs w:val="32"/>
        </w:rPr>
        <w:t>应当建立超限超载严重违法失信人名单，纳入公共信用信息平台，定期向社会公布。</w:t>
      </w:r>
    </w:p>
    <w:p>
      <w:pPr>
        <w:widowControl/>
        <w:spacing w:line="560" w:lineRule="exact"/>
        <w:ind w:firstLine="640" w:firstLineChars="200"/>
        <w:rPr>
          <w:rFonts w:ascii="仿宋_GB2312" w:eastAsia="仿宋_GB2312" w:cs="Arial"/>
          <w:b w:val="0"/>
          <w:bCs w:val="0"/>
          <w:kern w:val="0"/>
          <w:sz w:val="32"/>
          <w:szCs w:val="32"/>
        </w:rPr>
      </w:pPr>
      <w:r>
        <w:rPr>
          <w:rFonts w:hint="eastAsia" w:ascii="黑体" w:eastAsia="黑体" w:cs="黑体"/>
          <w:b w:val="0"/>
          <w:bCs w:val="0"/>
          <w:color w:val="333333"/>
          <w:sz w:val="32"/>
          <w:szCs w:val="32"/>
        </w:rPr>
        <w:t>第六条</w:t>
      </w:r>
      <w:r>
        <w:rPr>
          <w:rFonts w:hint="eastAsia" w:ascii="黑体" w:eastAsia="黑体" w:cs="Arial"/>
          <w:b w:val="0"/>
          <w:bCs w:val="0"/>
          <w:kern w:val="0"/>
          <w:sz w:val="32"/>
          <w:szCs w:val="32"/>
        </w:rPr>
        <w:t xml:space="preserve"> </w:t>
      </w:r>
      <w:r>
        <w:rPr>
          <w:rFonts w:hint="eastAsia" w:ascii="仿宋_GB2312" w:eastAsia="仿宋_GB2312" w:cs="Arial"/>
          <w:b w:val="0"/>
          <w:bCs w:val="0"/>
          <w:kern w:val="0"/>
          <w:sz w:val="32"/>
          <w:szCs w:val="32"/>
        </w:rPr>
        <w:t>县级以上人民政府及有关部门、单位应当加强对超限超载治理的宣传教育，引导货运经营者和车辆驾驶人依法装载、安全运输。</w:t>
      </w:r>
    </w:p>
    <w:p>
      <w:pPr>
        <w:widowControl/>
        <w:spacing w:line="560" w:lineRule="exact"/>
        <w:ind w:firstLine="640" w:firstLineChars="200"/>
        <w:rPr>
          <w:rFonts w:ascii="仿宋_GB2312" w:eastAsia="仿宋_GB2312" w:cs="Arial"/>
          <w:b w:val="0"/>
          <w:bCs w:val="0"/>
          <w:kern w:val="0"/>
          <w:sz w:val="32"/>
          <w:szCs w:val="32"/>
        </w:rPr>
      </w:pPr>
      <w:r>
        <w:rPr>
          <w:rFonts w:hint="eastAsia" w:ascii="黑体" w:eastAsia="黑体" w:cs="黑体"/>
          <w:b w:val="0"/>
          <w:bCs w:val="0"/>
          <w:color w:val="333333"/>
          <w:sz w:val="32"/>
          <w:szCs w:val="32"/>
        </w:rPr>
        <w:t>第七条</w:t>
      </w:r>
      <w:r>
        <w:rPr>
          <w:rFonts w:hint="eastAsia" w:ascii="黑体" w:eastAsia="黑体" w:cs="Arial"/>
          <w:b w:val="0"/>
          <w:bCs w:val="0"/>
          <w:kern w:val="0"/>
          <w:sz w:val="32"/>
          <w:szCs w:val="32"/>
        </w:rPr>
        <w:t xml:space="preserve"> </w:t>
      </w:r>
      <w:r>
        <w:rPr>
          <w:rFonts w:hint="eastAsia" w:ascii="仿宋_GB2312" w:eastAsia="仿宋_GB2312" w:cs="Arial"/>
          <w:b w:val="0"/>
          <w:bCs w:val="0"/>
          <w:kern w:val="0"/>
          <w:sz w:val="32"/>
          <w:szCs w:val="32"/>
        </w:rPr>
        <w:t>县级以上人民政府应当组织对货运车辆超限超载治理工作的督查。</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对不履行或者不正确履行货运车辆超限超载治理工作职责，致使本地区超限超载运输现象严重的设区的市、县（市、区）人民政府，由上一级人民政府分管领导约谈该地区人民政府分管领导。</w:t>
      </w:r>
    </w:p>
    <w:p>
      <w:pPr>
        <w:widowControl/>
        <w:spacing w:line="560" w:lineRule="exact"/>
        <w:ind w:firstLine="640" w:firstLineChars="200"/>
        <w:rPr>
          <w:rFonts w:ascii="仿宋_GB2312" w:eastAsia="仿宋_GB2312" w:cs="Arial"/>
          <w:b w:val="0"/>
          <w:bCs w:val="0"/>
          <w:kern w:val="0"/>
          <w:sz w:val="32"/>
          <w:szCs w:val="32"/>
        </w:rPr>
      </w:pPr>
      <w:r>
        <w:rPr>
          <w:rFonts w:hint="eastAsia" w:ascii="黑体" w:eastAsia="黑体" w:cs="黑体"/>
          <w:b w:val="0"/>
          <w:bCs w:val="0"/>
          <w:color w:val="333333"/>
          <w:sz w:val="32"/>
          <w:szCs w:val="32"/>
        </w:rPr>
        <w:t>第八条</w:t>
      </w:r>
      <w:r>
        <w:rPr>
          <w:rFonts w:hint="eastAsia" w:ascii="黑体" w:eastAsia="黑体" w:cs="Arial"/>
          <w:b w:val="0"/>
          <w:bCs w:val="0"/>
          <w:kern w:val="0"/>
          <w:sz w:val="32"/>
          <w:szCs w:val="32"/>
        </w:rPr>
        <w:t xml:space="preserve"> </w:t>
      </w:r>
      <w:r>
        <w:rPr>
          <w:rFonts w:hint="eastAsia" w:ascii="仿宋_GB2312" w:eastAsia="仿宋_GB2312" w:cs="Arial"/>
          <w:b w:val="0"/>
          <w:bCs w:val="0"/>
          <w:kern w:val="0"/>
          <w:sz w:val="32"/>
          <w:szCs w:val="32"/>
        </w:rPr>
        <w:t>县级以上人民政府交通运输主管部门、</w:t>
      </w:r>
      <w:r>
        <w:rPr>
          <w:rFonts w:ascii="仿宋_GB2312" w:eastAsia="仿宋_GB2312"/>
          <w:b w:val="0"/>
          <w:bCs w:val="0"/>
          <w:kern w:val="0"/>
          <w:sz w:val="32"/>
          <w:szCs w:val="32"/>
        </w:rPr>
        <w:t>交通运输综合执法机构</w:t>
      </w:r>
      <w:r>
        <w:rPr>
          <w:rFonts w:hint="eastAsia" w:ascii="仿宋_GB2312" w:eastAsia="仿宋_GB2312" w:cs="Arial"/>
          <w:b w:val="0"/>
          <w:bCs w:val="0"/>
          <w:kern w:val="0"/>
          <w:sz w:val="32"/>
          <w:szCs w:val="32"/>
        </w:rPr>
        <w:t>、公安机关交通管理部门应当建立货运车辆超限超载投诉举报制度，公开投诉举报电话、电子信箱等。</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任何单位和个人都有权对货运车辆超限超载行为进行举报。县级以上人民政府交通运输主管部门、</w:t>
      </w:r>
      <w:r>
        <w:rPr>
          <w:rFonts w:ascii="仿宋_GB2312" w:eastAsia="仿宋_GB2312"/>
          <w:b w:val="0"/>
          <w:bCs w:val="0"/>
          <w:kern w:val="0"/>
          <w:sz w:val="32"/>
          <w:szCs w:val="32"/>
        </w:rPr>
        <w:t>交通运输综合执法机构</w:t>
      </w:r>
      <w:r>
        <w:rPr>
          <w:rFonts w:hint="eastAsia" w:ascii="仿宋_GB2312" w:eastAsia="仿宋_GB2312" w:cs="Arial"/>
          <w:b w:val="0"/>
          <w:bCs w:val="0"/>
          <w:kern w:val="0"/>
          <w:sz w:val="32"/>
          <w:szCs w:val="32"/>
        </w:rPr>
        <w:t>、公安机关交通管理部门收到举报后，应当依法查处。</w:t>
      </w:r>
    </w:p>
    <w:p>
      <w:pPr>
        <w:widowControl/>
        <w:spacing w:line="560" w:lineRule="exact"/>
        <w:ind w:firstLine="640" w:firstLineChars="200"/>
        <w:rPr>
          <w:rFonts w:hint="eastAsia" w:ascii="仿宋_GB2312" w:eastAsia="仿宋_GB2312" w:cs="Arial"/>
          <w:b w:val="0"/>
          <w:bCs w:val="0"/>
          <w:kern w:val="0"/>
          <w:sz w:val="32"/>
          <w:szCs w:val="32"/>
        </w:rPr>
      </w:pPr>
    </w:p>
    <w:p>
      <w:pPr>
        <w:jc w:val="center"/>
        <w:rPr>
          <w:rFonts w:ascii="黑体" w:eastAsia="黑体" w:cs="黑体"/>
          <w:b w:val="0"/>
          <w:bCs w:val="0"/>
          <w:color w:val="333333"/>
          <w:sz w:val="32"/>
          <w:szCs w:val="32"/>
        </w:rPr>
      </w:pPr>
      <w:r>
        <w:rPr>
          <w:rFonts w:hint="eastAsia" w:ascii="黑体" w:eastAsia="黑体" w:cs="黑体"/>
          <w:b w:val="0"/>
          <w:bCs w:val="0"/>
          <w:color w:val="333333"/>
          <w:sz w:val="32"/>
          <w:szCs w:val="32"/>
        </w:rPr>
        <w:t>第二章 源头治理</w:t>
      </w:r>
    </w:p>
    <w:p>
      <w:pPr>
        <w:widowControl/>
        <w:spacing w:line="560" w:lineRule="exact"/>
        <w:ind w:firstLine="640" w:firstLineChars="200"/>
        <w:rPr>
          <w:rFonts w:ascii="黑体" w:eastAsia="黑体" w:cs="黑体"/>
          <w:b w:val="0"/>
          <w:bCs w:val="0"/>
          <w:color w:val="333333"/>
          <w:sz w:val="32"/>
          <w:szCs w:val="32"/>
        </w:rPr>
      </w:pPr>
    </w:p>
    <w:p>
      <w:pPr>
        <w:widowControl/>
        <w:spacing w:line="560" w:lineRule="exact"/>
        <w:ind w:firstLine="640" w:firstLineChars="200"/>
        <w:rPr>
          <w:rFonts w:ascii="仿宋_GB2312" w:eastAsia="仿宋_GB2312" w:cs="Arial"/>
          <w:b w:val="0"/>
          <w:bCs w:val="0"/>
          <w:kern w:val="0"/>
          <w:sz w:val="32"/>
          <w:szCs w:val="32"/>
        </w:rPr>
      </w:pPr>
      <w:r>
        <w:rPr>
          <w:rFonts w:hint="eastAsia" w:ascii="黑体" w:eastAsia="黑体" w:cs="黑体"/>
          <w:b w:val="0"/>
          <w:bCs w:val="0"/>
          <w:color w:val="333333"/>
          <w:sz w:val="32"/>
          <w:szCs w:val="32"/>
        </w:rPr>
        <w:t>第九条</w:t>
      </w:r>
      <w:r>
        <w:rPr>
          <w:rFonts w:hint="eastAsia" w:ascii="黑体" w:eastAsia="黑体" w:cs="Arial"/>
          <w:b w:val="0"/>
          <w:bCs w:val="0"/>
          <w:kern w:val="0"/>
          <w:sz w:val="32"/>
          <w:szCs w:val="32"/>
        </w:rPr>
        <w:t xml:space="preserve"> </w:t>
      </w:r>
      <w:r>
        <w:rPr>
          <w:rFonts w:hint="eastAsia" w:ascii="仿宋_GB2312" w:eastAsia="仿宋_GB2312" w:cs="Arial"/>
          <w:b w:val="0"/>
          <w:bCs w:val="0"/>
          <w:kern w:val="0"/>
          <w:sz w:val="32"/>
          <w:szCs w:val="32"/>
        </w:rPr>
        <w:t>企业生产、销售的货运车辆应当符合机动车国家安全技术标准有关车辆外廓尺寸、轴荷及质量限值等规定，其车辆技术数据应当执行国家规定和设计规范。</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工业和信息化、</w:t>
      </w:r>
      <w:r>
        <w:rPr>
          <w:rFonts w:ascii="仿宋_GB2312" w:eastAsia="仿宋_GB2312" w:cs="Arial"/>
          <w:b w:val="0"/>
          <w:bCs w:val="0"/>
          <w:kern w:val="0"/>
          <w:sz w:val="32"/>
          <w:szCs w:val="32"/>
        </w:rPr>
        <w:t>市场监督管理</w:t>
      </w:r>
      <w:r>
        <w:rPr>
          <w:rFonts w:hint="eastAsia" w:ascii="仿宋_GB2312" w:eastAsia="仿宋_GB2312" w:cs="Arial"/>
          <w:b w:val="0"/>
          <w:bCs w:val="0"/>
          <w:kern w:val="0"/>
          <w:sz w:val="32"/>
          <w:szCs w:val="32"/>
        </w:rPr>
        <w:t>部门依据职责，负责对汽车生产企业及产品监督检查，依法查处生产、销售拼装汽车或者擅自改装汽车的行为。</w:t>
      </w:r>
    </w:p>
    <w:p>
      <w:pPr>
        <w:widowControl/>
        <w:spacing w:line="560" w:lineRule="exact"/>
        <w:ind w:firstLine="640" w:firstLineChars="200"/>
        <w:rPr>
          <w:rFonts w:ascii="仿宋_GB2312" w:eastAsia="仿宋_GB2312" w:cs="Arial"/>
          <w:b w:val="0"/>
          <w:bCs w:val="0"/>
          <w:kern w:val="0"/>
          <w:sz w:val="32"/>
          <w:szCs w:val="32"/>
        </w:rPr>
      </w:pPr>
      <w:r>
        <w:rPr>
          <w:rFonts w:hint="eastAsia" w:ascii="黑体" w:eastAsia="黑体" w:cs="黑体"/>
          <w:b w:val="0"/>
          <w:bCs w:val="0"/>
          <w:color w:val="333333"/>
          <w:sz w:val="32"/>
          <w:szCs w:val="32"/>
        </w:rPr>
        <w:t>第十条</w:t>
      </w:r>
      <w:r>
        <w:rPr>
          <w:rFonts w:hint="eastAsia" w:ascii="黑体" w:eastAsia="黑体" w:cs="Arial"/>
          <w:b w:val="0"/>
          <w:bCs w:val="0"/>
          <w:kern w:val="0"/>
          <w:sz w:val="32"/>
          <w:szCs w:val="32"/>
        </w:rPr>
        <w:t xml:space="preserve"> </w:t>
      </w:r>
      <w:r>
        <w:rPr>
          <w:rFonts w:hint="eastAsia" w:ascii="仿宋_GB2312" w:eastAsia="仿宋_GB2312" w:cs="Arial"/>
          <w:b w:val="0"/>
          <w:bCs w:val="0"/>
          <w:kern w:val="0"/>
          <w:sz w:val="32"/>
          <w:szCs w:val="32"/>
        </w:rPr>
        <w:t>禁止任何单位和个人拼装货运车辆或者擅自改变货运车辆的外廓尺寸和主要承载构件。</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运输不可解体物品需要改装车辆的，应当由具有相应资质的车辆生产企业按照规定的车型和技术参数进行改装，并依法向公安机关交通管理部门申请变更登记。</w:t>
      </w:r>
    </w:p>
    <w:p>
      <w:pPr>
        <w:widowControl/>
        <w:spacing w:line="560" w:lineRule="exact"/>
        <w:ind w:firstLine="640" w:firstLineChars="200"/>
        <w:rPr>
          <w:rFonts w:ascii="仿宋_GB2312" w:eastAsia="仿宋_GB2312" w:cs="Arial"/>
          <w:b w:val="0"/>
          <w:bCs w:val="0"/>
          <w:kern w:val="0"/>
          <w:sz w:val="32"/>
          <w:szCs w:val="32"/>
        </w:rPr>
      </w:pPr>
      <w:r>
        <w:rPr>
          <w:rFonts w:hint="eastAsia" w:ascii="黑体" w:eastAsia="黑体" w:cs="黑体"/>
          <w:b w:val="0"/>
          <w:bCs w:val="0"/>
          <w:color w:val="333333"/>
          <w:sz w:val="32"/>
          <w:szCs w:val="32"/>
        </w:rPr>
        <w:t>第十一条</w:t>
      </w:r>
      <w:r>
        <w:rPr>
          <w:rFonts w:hint="eastAsia" w:ascii="黑体" w:eastAsia="黑体" w:cs="Arial"/>
          <w:b w:val="0"/>
          <w:bCs w:val="0"/>
          <w:kern w:val="0"/>
          <w:sz w:val="32"/>
          <w:szCs w:val="32"/>
        </w:rPr>
        <w:t xml:space="preserve"> </w:t>
      </w:r>
      <w:r>
        <w:rPr>
          <w:rFonts w:hint="eastAsia" w:ascii="仿宋_GB2312" w:eastAsia="仿宋_GB2312" w:cs="Arial"/>
          <w:b w:val="0"/>
          <w:bCs w:val="0"/>
          <w:kern w:val="0"/>
          <w:sz w:val="32"/>
          <w:szCs w:val="32"/>
        </w:rPr>
        <w:t>禁止使用拼装、擅自改装以及其他不符合机动车国家安全技术标准的车辆从事货物运输经营活动。</w:t>
      </w:r>
    </w:p>
    <w:p>
      <w:pPr>
        <w:widowControl/>
        <w:spacing w:line="560" w:lineRule="exact"/>
        <w:ind w:firstLine="640" w:firstLineChars="200"/>
        <w:rPr>
          <w:rFonts w:hint="eastAsia" w:ascii="仿宋_GB2312" w:eastAsia="仿宋_GB2312"/>
          <w:b w:val="0"/>
          <w:bCs w:val="0"/>
          <w:kern w:val="0"/>
          <w:sz w:val="32"/>
          <w:szCs w:val="32"/>
        </w:rPr>
      </w:pPr>
      <w:r>
        <w:rPr>
          <w:rFonts w:hint="eastAsia" w:ascii="仿宋_GB2312" w:eastAsia="仿宋_GB2312" w:cs="Arial"/>
          <w:b w:val="0"/>
          <w:bCs w:val="0"/>
          <w:kern w:val="0"/>
          <w:sz w:val="32"/>
          <w:szCs w:val="32"/>
        </w:rPr>
        <w:t>公安机关交通管理部门、交通运输主管部门或者承担交通运输行政审批职能的部门办理货运车辆注册登记、车辆营运证和定期检验业务时，应当对货运车辆的外廓尺寸、轴荷及质量限值等情况予以查验。对不符合机动车国家安全技术标准的货运车辆，公安机关交通管理部门不得进行车辆注册登记、不得发放检验合格标志；</w:t>
      </w:r>
      <w:r>
        <w:rPr>
          <w:rFonts w:hint="eastAsia" w:ascii="仿宋_GB2312" w:eastAsia="仿宋_GB2312"/>
          <w:b w:val="0"/>
          <w:bCs w:val="0"/>
          <w:kern w:val="0"/>
          <w:sz w:val="32"/>
          <w:szCs w:val="32"/>
        </w:rPr>
        <w:t>交通运输主管部门或者承担交通运输行政审批职能的部门</w:t>
      </w:r>
      <w:r>
        <w:rPr>
          <w:rFonts w:hint="eastAsia" w:ascii="仿宋_GB2312" w:eastAsia="仿宋_GB2312" w:cs="Arial"/>
          <w:b w:val="0"/>
          <w:bCs w:val="0"/>
          <w:kern w:val="0"/>
          <w:sz w:val="32"/>
          <w:szCs w:val="32"/>
        </w:rPr>
        <w:t>不得发放车辆营运证，对已取得车辆营运证的，应当责令限期整改，整改后仍不合格的，应当依法处理。对拼装的货运车辆，公安机关交通管理部门应当依法收缴，强制报废。</w:t>
      </w:r>
    </w:p>
    <w:p>
      <w:pPr>
        <w:widowControl/>
        <w:spacing w:line="560" w:lineRule="exact"/>
        <w:ind w:firstLine="640" w:firstLineChars="200"/>
        <w:rPr>
          <w:rFonts w:hint="eastAsia" w:ascii="仿宋_GB2312" w:eastAsia="仿宋_GB2312"/>
          <w:b w:val="0"/>
          <w:bCs w:val="0"/>
          <w:kern w:val="0"/>
          <w:sz w:val="32"/>
          <w:szCs w:val="32"/>
        </w:rPr>
      </w:pPr>
      <w:r>
        <w:rPr>
          <w:rFonts w:hint="eastAsia" w:ascii="黑体" w:eastAsia="黑体" w:cs="黑体"/>
          <w:b w:val="0"/>
          <w:bCs w:val="0"/>
          <w:color w:val="333333"/>
          <w:sz w:val="32"/>
          <w:szCs w:val="32"/>
        </w:rPr>
        <w:t>第十二条</w:t>
      </w:r>
      <w:r>
        <w:rPr>
          <w:rFonts w:hint="eastAsia" w:ascii="黑体" w:eastAsia="黑体" w:cs="Arial"/>
          <w:b w:val="0"/>
          <w:bCs w:val="0"/>
          <w:kern w:val="0"/>
          <w:sz w:val="32"/>
          <w:szCs w:val="32"/>
        </w:rPr>
        <w:t xml:space="preserve"> </w:t>
      </w:r>
      <w:r>
        <w:rPr>
          <w:rFonts w:hint="eastAsia" w:ascii="仿宋_GB2312" w:eastAsia="仿宋_GB2312" w:cs="Arial"/>
          <w:b w:val="0"/>
          <w:bCs w:val="0"/>
          <w:kern w:val="0"/>
          <w:sz w:val="32"/>
          <w:szCs w:val="32"/>
        </w:rPr>
        <w:t>县级以上人民政府有关部门应当加强对货物源头单位的监督管理</w:t>
      </w:r>
      <w:r>
        <w:rPr>
          <w:rFonts w:ascii="仿宋_GB2312" w:eastAsia="仿宋_GB2312"/>
          <w:b w:val="0"/>
          <w:bCs w:val="0"/>
          <w:kern w:val="0"/>
          <w:sz w:val="32"/>
          <w:szCs w:val="32"/>
        </w:rPr>
        <w:t>，</w:t>
      </w:r>
      <w:r>
        <w:rPr>
          <w:rFonts w:hint="eastAsia" w:ascii="仿宋_GB2312" w:eastAsia="仿宋_GB2312"/>
          <w:b w:val="0"/>
          <w:bCs w:val="0"/>
          <w:kern w:val="0"/>
          <w:sz w:val="32"/>
          <w:szCs w:val="32"/>
        </w:rPr>
        <w:t>依法将其纳入安全生产监管范围</w:t>
      </w:r>
      <w:r>
        <w:rPr>
          <w:rFonts w:ascii="仿宋_GB2312" w:eastAsia="仿宋_GB2312"/>
          <w:b w:val="0"/>
          <w:bCs w:val="0"/>
          <w:kern w:val="0"/>
          <w:sz w:val="32"/>
          <w:szCs w:val="32"/>
        </w:rPr>
        <w:t>：</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（一）</w:t>
      </w:r>
      <w:r>
        <w:rPr>
          <w:rFonts w:ascii="仿宋_GB2312" w:eastAsia="仿宋_GB2312" w:cs="Arial"/>
          <w:b w:val="0"/>
          <w:bCs w:val="0"/>
          <w:kern w:val="0"/>
          <w:sz w:val="32"/>
          <w:szCs w:val="32"/>
        </w:rPr>
        <w:t>自然</w:t>
      </w:r>
      <w:r>
        <w:rPr>
          <w:rFonts w:hint="eastAsia" w:ascii="仿宋_GB2312" w:eastAsia="仿宋_GB2312" w:cs="Arial"/>
          <w:b w:val="0"/>
          <w:bCs w:val="0"/>
          <w:kern w:val="0"/>
          <w:sz w:val="32"/>
          <w:szCs w:val="32"/>
        </w:rPr>
        <w:t>资源部门负责对砂、石、粘土、稀土、煤炭等矿产开采的监督管理，引导采砂场、采石场、取土场等依法组织运输；</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（二）住房和城乡建设部门负责对城市建筑渣土清理的监督管理，引导建筑施工单位依法组织运输；</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（三）水利部门负责对河道采砂活动的监督管理，引导河道砂石开采权人依法组织运输；</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（四）工业和信息化部门负责对散装水泥、预拌混凝土和预拌砂浆生产经营活动的监督管理，引导散装水泥、预拌混凝土和预拌砂浆生产经营企业依法组织运输；</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（五）其他有关部门应当按照职责权限，加强对货物源头单位的监督管理，引导相关单位依法组织运输。</w:t>
      </w:r>
    </w:p>
    <w:p>
      <w:pPr>
        <w:widowControl/>
        <w:spacing w:line="560" w:lineRule="exact"/>
        <w:ind w:firstLine="640" w:firstLineChars="200"/>
        <w:rPr>
          <w:rFonts w:ascii="仿宋_GB2312" w:eastAsia="仿宋_GB2312" w:cs="Arial"/>
          <w:b w:val="0"/>
          <w:bCs w:val="0"/>
          <w:kern w:val="0"/>
          <w:sz w:val="32"/>
          <w:szCs w:val="32"/>
        </w:rPr>
      </w:pPr>
      <w:r>
        <w:rPr>
          <w:rFonts w:hint="eastAsia" w:ascii="黑体" w:eastAsia="黑体" w:cs="黑体"/>
          <w:b w:val="0"/>
          <w:bCs w:val="0"/>
          <w:color w:val="333333"/>
          <w:sz w:val="32"/>
          <w:szCs w:val="32"/>
        </w:rPr>
        <w:t>第十三条</w:t>
      </w:r>
      <w:r>
        <w:rPr>
          <w:rFonts w:hint="eastAsia" w:ascii="黑体" w:eastAsia="黑体" w:cs="Arial"/>
          <w:b w:val="0"/>
          <w:bCs w:val="0"/>
          <w:kern w:val="0"/>
          <w:sz w:val="32"/>
          <w:szCs w:val="32"/>
        </w:rPr>
        <w:t xml:space="preserve"> </w:t>
      </w:r>
      <w:r>
        <w:rPr>
          <w:rFonts w:hint="eastAsia" w:ascii="仿宋_GB2312" w:eastAsia="仿宋_GB2312" w:cs="Arial"/>
          <w:b w:val="0"/>
          <w:bCs w:val="0"/>
          <w:kern w:val="0"/>
          <w:sz w:val="32"/>
          <w:szCs w:val="32"/>
        </w:rPr>
        <w:t>道路运输货物集散地以及货运站等场所的经营者、管理者（以下简称货运源头单位）应当遵守下列规定:</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（一）明确有关从业人员职责，建立并落实责任追究制度；</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（二）对货物装载、开票、计重等从业人员进行培训；</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（三）对货运车辆驾驶人出示的驾驶证、行驶证、车辆营运证和从业资格证进行登记；</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（四）按照货运车辆装载要求合法装载，如实计重、开票、签发装载单；</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（五）不得放行不符合装载要求的货运车辆；</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（六）建立健全货运车辆装载的登记、统计制度；</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（七）接受执法人员的监督检查，如实提供有关情况和资料。</w:t>
      </w:r>
    </w:p>
    <w:p>
      <w:pPr>
        <w:widowControl/>
        <w:spacing w:line="560" w:lineRule="exact"/>
        <w:ind w:firstLine="640" w:firstLineChars="200"/>
        <w:rPr>
          <w:rFonts w:ascii="仿宋_GB2312" w:eastAsia="仿宋_GB2312" w:cs="Arial"/>
          <w:b w:val="0"/>
          <w:bCs w:val="0"/>
          <w:kern w:val="0"/>
          <w:sz w:val="32"/>
          <w:szCs w:val="32"/>
        </w:rPr>
      </w:pPr>
      <w:r>
        <w:rPr>
          <w:rFonts w:hint="eastAsia" w:ascii="黑体" w:eastAsia="黑体" w:cs="黑体"/>
          <w:b w:val="0"/>
          <w:bCs w:val="0"/>
          <w:color w:val="333333"/>
          <w:sz w:val="32"/>
          <w:szCs w:val="32"/>
        </w:rPr>
        <w:t>第十四条</w:t>
      </w:r>
      <w:r>
        <w:rPr>
          <w:rFonts w:hint="eastAsia" w:ascii="黑体" w:eastAsia="黑体" w:cs="Arial"/>
          <w:b w:val="0"/>
          <w:bCs w:val="0"/>
          <w:kern w:val="0"/>
          <w:sz w:val="32"/>
          <w:szCs w:val="32"/>
        </w:rPr>
        <w:t xml:space="preserve"> </w:t>
      </w:r>
      <w:r>
        <w:rPr>
          <w:rFonts w:hint="eastAsia" w:ascii="仿宋_GB2312" w:eastAsia="仿宋_GB2312" w:cs="Arial"/>
          <w:b w:val="0"/>
          <w:bCs w:val="0"/>
          <w:kern w:val="0"/>
          <w:sz w:val="32"/>
          <w:szCs w:val="32"/>
        </w:rPr>
        <w:t>货物运输经营者应当遵守下列规定:</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 xml:space="preserve">（一）不得聘用未取得从业资格证的货运车辆驾驶人； </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（二）对所属货运车辆驾驶人进行依法装载和安全知识培训；</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（三）其他有关法律、法规规定。</w:t>
      </w:r>
    </w:p>
    <w:p>
      <w:pPr>
        <w:widowControl/>
        <w:spacing w:line="560" w:lineRule="exact"/>
        <w:ind w:firstLine="640" w:firstLineChars="200"/>
        <w:rPr>
          <w:rFonts w:ascii="仿宋_GB2312" w:eastAsia="仿宋_GB2312" w:cs="Arial"/>
          <w:b w:val="0"/>
          <w:bCs w:val="0"/>
          <w:kern w:val="0"/>
          <w:sz w:val="32"/>
          <w:szCs w:val="32"/>
        </w:rPr>
      </w:pPr>
      <w:r>
        <w:rPr>
          <w:rFonts w:hint="eastAsia" w:ascii="黑体" w:eastAsia="黑体" w:cs="黑体"/>
          <w:b w:val="0"/>
          <w:bCs w:val="0"/>
          <w:color w:val="333333"/>
          <w:sz w:val="32"/>
          <w:szCs w:val="32"/>
        </w:rPr>
        <w:t>第十五条</w:t>
      </w:r>
      <w:r>
        <w:rPr>
          <w:rFonts w:hint="eastAsia" w:ascii="仿宋_GB2312" w:eastAsia="仿宋_GB2312" w:cs="Arial"/>
          <w:b w:val="0"/>
          <w:bCs w:val="0"/>
          <w:kern w:val="0"/>
          <w:sz w:val="32"/>
          <w:szCs w:val="32"/>
        </w:rPr>
        <w:t xml:space="preserve"> 鼓励货物源头单位、货运源头单位安装符合相关标准并经计量检定合格的车货称重设备，实行车货总质量称重信息管理，并将称重信息完整、准确地纳入货运车辆超限超载治理信息平台，接受有关行政主管部门的指导。</w:t>
      </w:r>
    </w:p>
    <w:p>
      <w:pPr>
        <w:widowControl/>
        <w:spacing w:line="560" w:lineRule="exact"/>
        <w:ind w:firstLine="640" w:firstLineChars="200"/>
        <w:rPr>
          <w:rFonts w:ascii="仿宋_GB2312" w:eastAsia="仿宋_GB2312" w:cs="Arial"/>
          <w:b w:val="0"/>
          <w:bCs w:val="0"/>
          <w:kern w:val="0"/>
          <w:sz w:val="32"/>
          <w:szCs w:val="32"/>
        </w:rPr>
      </w:pPr>
      <w:r>
        <w:rPr>
          <w:rFonts w:hint="eastAsia" w:ascii="黑体" w:eastAsia="黑体" w:cs="黑体"/>
          <w:b w:val="0"/>
          <w:bCs w:val="0"/>
          <w:color w:val="333333"/>
          <w:sz w:val="32"/>
          <w:szCs w:val="32"/>
        </w:rPr>
        <w:t>第十六条</w:t>
      </w:r>
      <w:r>
        <w:rPr>
          <w:rFonts w:hint="eastAsia" w:ascii="黑体" w:eastAsia="黑体" w:cs="Arial"/>
          <w:b w:val="0"/>
          <w:bCs w:val="0"/>
          <w:kern w:val="0"/>
          <w:sz w:val="32"/>
          <w:szCs w:val="32"/>
        </w:rPr>
        <w:t xml:space="preserve"> </w:t>
      </w:r>
      <w:r>
        <w:rPr>
          <w:rFonts w:hint="eastAsia" w:ascii="仿宋_GB2312" w:eastAsia="仿宋_GB2312" w:cs="Arial"/>
          <w:b w:val="0"/>
          <w:bCs w:val="0"/>
          <w:kern w:val="0"/>
          <w:sz w:val="32"/>
          <w:szCs w:val="32"/>
        </w:rPr>
        <w:t>县级以上人民政府交通运输主管部门、</w:t>
      </w:r>
      <w:r>
        <w:rPr>
          <w:rFonts w:ascii="仿宋_GB2312" w:eastAsia="仿宋_GB2312"/>
          <w:b w:val="0"/>
          <w:bCs w:val="0"/>
          <w:kern w:val="0"/>
          <w:sz w:val="32"/>
          <w:szCs w:val="32"/>
        </w:rPr>
        <w:t>交通运输综合执法机构</w:t>
      </w:r>
      <w:r>
        <w:rPr>
          <w:rFonts w:hint="eastAsia" w:ascii="仿宋_GB2312" w:eastAsia="仿宋_GB2312" w:cs="Arial"/>
          <w:b w:val="0"/>
          <w:bCs w:val="0"/>
          <w:kern w:val="0"/>
          <w:sz w:val="32"/>
          <w:szCs w:val="32"/>
        </w:rPr>
        <w:t>应当建立健全监督检查制度，采取随机抽查、定期巡查相结合的方式，严格按照法定权限和程序对货物源头单位、货运源头单位和货物运输经营者进行监督检查。</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设区的市和县(市、区)人民政府交通运输主管部门、</w:t>
      </w:r>
      <w:r>
        <w:rPr>
          <w:rFonts w:ascii="仿宋_GB2312" w:eastAsia="仿宋_GB2312"/>
          <w:b w:val="0"/>
          <w:bCs w:val="0"/>
          <w:kern w:val="0"/>
          <w:sz w:val="32"/>
          <w:szCs w:val="32"/>
        </w:rPr>
        <w:t>交通运输综合执法机构</w:t>
      </w:r>
      <w:r>
        <w:rPr>
          <w:rFonts w:hint="eastAsia" w:ascii="仿宋_GB2312" w:eastAsia="仿宋_GB2312" w:cs="Arial"/>
          <w:b w:val="0"/>
          <w:bCs w:val="0"/>
          <w:kern w:val="0"/>
          <w:sz w:val="32"/>
          <w:szCs w:val="32"/>
        </w:rPr>
        <w:t>对货运源头单位比较集中的区域，可以采取技术监控或者派驻行政执法人员等方式，加强货运车辆检查。</w:t>
      </w:r>
    </w:p>
    <w:p>
      <w:pPr>
        <w:widowControl/>
        <w:spacing w:line="560" w:lineRule="exact"/>
        <w:ind w:firstLine="640" w:firstLineChars="200"/>
        <w:rPr>
          <w:rFonts w:hint="eastAsia" w:ascii="仿宋_GB2312" w:eastAsia="仿宋_GB2312" w:cs="Arial"/>
          <w:b w:val="0"/>
          <w:bCs w:val="0"/>
          <w:kern w:val="0"/>
          <w:sz w:val="32"/>
          <w:szCs w:val="32"/>
        </w:rPr>
      </w:pPr>
    </w:p>
    <w:p>
      <w:pPr>
        <w:jc w:val="center"/>
        <w:rPr>
          <w:rFonts w:ascii="黑体" w:eastAsia="黑体" w:cs="黑体"/>
          <w:b w:val="0"/>
          <w:bCs w:val="0"/>
          <w:color w:val="333333"/>
          <w:sz w:val="32"/>
          <w:szCs w:val="32"/>
        </w:rPr>
      </w:pPr>
      <w:r>
        <w:rPr>
          <w:rFonts w:hint="eastAsia" w:ascii="黑体" w:eastAsia="黑体" w:cs="黑体"/>
          <w:b w:val="0"/>
          <w:bCs w:val="0"/>
          <w:color w:val="333333"/>
          <w:sz w:val="32"/>
          <w:szCs w:val="32"/>
        </w:rPr>
        <w:t>第三章 通行治理</w:t>
      </w:r>
    </w:p>
    <w:p>
      <w:pPr>
        <w:widowControl/>
        <w:spacing w:line="560" w:lineRule="exact"/>
        <w:ind w:firstLine="640" w:firstLineChars="200"/>
        <w:rPr>
          <w:rFonts w:ascii="黑体" w:eastAsia="黑体" w:cs="黑体"/>
          <w:b w:val="0"/>
          <w:bCs w:val="0"/>
          <w:color w:val="333333"/>
          <w:sz w:val="32"/>
          <w:szCs w:val="32"/>
        </w:rPr>
      </w:pPr>
    </w:p>
    <w:p>
      <w:pPr>
        <w:widowControl/>
        <w:spacing w:line="560" w:lineRule="exact"/>
        <w:ind w:firstLine="640" w:firstLineChars="200"/>
        <w:rPr>
          <w:rFonts w:ascii="仿宋_GB2312" w:eastAsia="仿宋_GB2312" w:cs="Arial"/>
          <w:b w:val="0"/>
          <w:bCs w:val="0"/>
          <w:kern w:val="0"/>
          <w:sz w:val="32"/>
          <w:szCs w:val="32"/>
        </w:rPr>
      </w:pPr>
      <w:r>
        <w:rPr>
          <w:rFonts w:hint="eastAsia" w:ascii="黑体" w:eastAsia="黑体" w:cs="黑体"/>
          <w:b w:val="0"/>
          <w:bCs w:val="0"/>
          <w:color w:val="333333"/>
          <w:sz w:val="32"/>
          <w:szCs w:val="32"/>
        </w:rPr>
        <w:t>第十七条</w:t>
      </w:r>
      <w:r>
        <w:rPr>
          <w:rFonts w:hint="eastAsia" w:ascii="黑体" w:eastAsia="黑体" w:cs="Arial"/>
          <w:b w:val="0"/>
          <w:bCs w:val="0"/>
          <w:kern w:val="0"/>
          <w:sz w:val="32"/>
          <w:szCs w:val="32"/>
        </w:rPr>
        <w:t xml:space="preserve"> </w:t>
      </w:r>
      <w:r>
        <w:rPr>
          <w:rFonts w:hint="eastAsia" w:ascii="仿宋_GB2312" w:eastAsia="仿宋_GB2312" w:cs="Arial"/>
          <w:b w:val="0"/>
          <w:bCs w:val="0"/>
          <w:kern w:val="0"/>
          <w:sz w:val="32"/>
          <w:szCs w:val="32"/>
        </w:rPr>
        <w:t>货运车辆不得超限超载运输；但是，载运不可解体物品确需超限运输的，应当依法办理超限运输许可。</w:t>
      </w:r>
    </w:p>
    <w:p>
      <w:pPr>
        <w:widowControl/>
        <w:spacing w:line="560" w:lineRule="exact"/>
        <w:ind w:firstLine="640" w:firstLineChars="200"/>
        <w:rPr>
          <w:rFonts w:ascii="仿宋_GB2312" w:eastAsia="仿宋_GB2312" w:cs="Arial"/>
          <w:b w:val="0"/>
          <w:bCs w:val="0"/>
          <w:kern w:val="0"/>
          <w:sz w:val="32"/>
          <w:szCs w:val="32"/>
        </w:rPr>
      </w:pPr>
      <w:r>
        <w:rPr>
          <w:rFonts w:hint="eastAsia" w:ascii="黑体" w:eastAsia="黑体" w:cs="黑体"/>
          <w:b w:val="0"/>
          <w:bCs w:val="0"/>
          <w:color w:val="333333"/>
          <w:sz w:val="32"/>
          <w:szCs w:val="32"/>
        </w:rPr>
        <w:t>第十八条</w:t>
      </w:r>
      <w:r>
        <w:rPr>
          <w:rFonts w:hint="eastAsia" w:ascii="黑体" w:eastAsia="黑体" w:cs="Arial"/>
          <w:b w:val="0"/>
          <w:bCs w:val="0"/>
          <w:kern w:val="0"/>
          <w:sz w:val="32"/>
          <w:szCs w:val="32"/>
        </w:rPr>
        <w:t xml:space="preserve"> </w:t>
      </w:r>
      <w:r>
        <w:rPr>
          <w:rFonts w:hint="eastAsia" w:ascii="仿宋_GB2312" w:eastAsia="仿宋_GB2312" w:cs="Arial"/>
          <w:b w:val="0"/>
          <w:bCs w:val="0"/>
          <w:kern w:val="0"/>
          <w:sz w:val="32"/>
          <w:szCs w:val="32"/>
        </w:rPr>
        <w:t>任何单位和个人不得指使、强令货运车辆驾驶人超载或者未经许可超限运输货物。</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货运车辆驾驶人不得驾驶超载或者未经许可超限车辆在公路上行驶。货运车辆驾驶人在运输中，按规定应当随车携带装载证明的，实际装载情况应当与装载证明载明的内容相符。</w:t>
      </w:r>
    </w:p>
    <w:p>
      <w:pPr>
        <w:widowControl/>
        <w:spacing w:line="560" w:lineRule="exact"/>
        <w:ind w:firstLine="640" w:firstLineChars="200"/>
        <w:rPr>
          <w:rFonts w:ascii="仿宋_GB2312" w:eastAsia="仿宋_GB2312"/>
          <w:b w:val="0"/>
          <w:bCs w:val="0"/>
          <w:kern w:val="0"/>
          <w:sz w:val="32"/>
          <w:szCs w:val="32"/>
        </w:rPr>
      </w:pPr>
      <w:r>
        <w:rPr>
          <w:rFonts w:hint="eastAsia" w:ascii="黑体" w:eastAsia="黑体" w:cs="黑体"/>
          <w:b w:val="0"/>
          <w:bCs w:val="0"/>
          <w:color w:val="333333"/>
          <w:sz w:val="32"/>
          <w:szCs w:val="32"/>
        </w:rPr>
        <w:t>第十九条</w:t>
      </w:r>
      <w:r>
        <w:rPr>
          <w:rFonts w:hint="eastAsia" w:ascii="黑体" w:eastAsia="黑体" w:cs="Arial"/>
          <w:b w:val="0"/>
          <w:bCs w:val="0"/>
          <w:kern w:val="0"/>
          <w:sz w:val="32"/>
          <w:szCs w:val="32"/>
        </w:rPr>
        <w:t xml:space="preserve"> </w:t>
      </w:r>
      <w:r>
        <w:rPr>
          <w:rFonts w:hint="eastAsia" w:ascii="仿宋_GB2312" w:eastAsia="仿宋_GB2312" w:cs="Arial"/>
          <w:b w:val="0"/>
          <w:bCs w:val="0"/>
          <w:kern w:val="0"/>
          <w:sz w:val="32"/>
          <w:szCs w:val="32"/>
        </w:rPr>
        <w:t>依法取得许可的超限运输车辆，应当在采取安全保障措施后，按照指定的时间、路线、速度行驶公路；车辆驾驶人应当随车携带超限运输车辆通行证，</w:t>
      </w:r>
      <w:r>
        <w:rPr>
          <w:rFonts w:ascii="仿宋_GB2312" w:eastAsia="仿宋_GB2312"/>
          <w:b w:val="0"/>
          <w:bCs w:val="0"/>
          <w:kern w:val="0"/>
          <w:sz w:val="32"/>
          <w:szCs w:val="32"/>
        </w:rPr>
        <w:t>接受交通运输综合执法机构的监督检查和高速公路收费站的核验</w:t>
      </w:r>
      <w:r>
        <w:rPr>
          <w:rFonts w:hint="eastAsia" w:ascii="仿宋_GB2312" w:eastAsia="仿宋_GB2312" w:cs="Arial"/>
          <w:b w:val="0"/>
          <w:bCs w:val="0"/>
          <w:kern w:val="0"/>
          <w:sz w:val="32"/>
          <w:szCs w:val="32"/>
        </w:rPr>
        <w:t>。</w:t>
      </w:r>
    </w:p>
    <w:p>
      <w:pPr>
        <w:widowControl/>
        <w:spacing w:line="560" w:lineRule="exact"/>
        <w:ind w:firstLine="640" w:firstLineChars="200"/>
        <w:rPr>
          <w:rFonts w:ascii="仿宋_GB2312" w:eastAsia="仿宋_GB2312" w:cs="Arial"/>
          <w:b w:val="0"/>
          <w:bCs w:val="0"/>
          <w:kern w:val="0"/>
          <w:sz w:val="32"/>
          <w:szCs w:val="32"/>
        </w:rPr>
      </w:pPr>
      <w:r>
        <w:rPr>
          <w:rFonts w:hint="eastAsia" w:ascii="黑体" w:eastAsia="黑体" w:cs="黑体"/>
          <w:b w:val="0"/>
          <w:bCs w:val="0"/>
          <w:color w:val="333333"/>
          <w:sz w:val="32"/>
          <w:szCs w:val="32"/>
        </w:rPr>
        <w:t>第二十条</w:t>
      </w:r>
      <w:r>
        <w:rPr>
          <w:rFonts w:hint="eastAsia" w:ascii="黑体" w:eastAsia="黑体" w:cs="Arial"/>
          <w:b w:val="0"/>
          <w:bCs w:val="0"/>
          <w:kern w:val="0"/>
          <w:sz w:val="32"/>
          <w:szCs w:val="32"/>
        </w:rPr>
        <w:t xml:space="preserve"> </w:t>
      </w:r>
      <w:r>
        <w:rPr>
          <w:rFonts w:hint="eastAsia" w:ascii="仿宋_GB2312" w:eastAsia="仿宋_GB2312" w:cs="Arial"/>
          <w:b w:val="0"/>
          <w:bCs w:val="0"/>
          <w:kern w:val="0"/>
          <w:sz w:val="32"/>
          <w:szCs w:val="32"/>
        </w:rPr>
        <w:t>县级以上人民政府应当组织交通运输主管部门、</w:t>
      </w:r>
      <w:r>
        <w:rPr>
          <w:rFonts w:ascii="仿宋_GB2312" w:eastAsia="仿宋_GB2312"/>
          <w:b w:val="0"/>
          <w:bCs w:val="0"/>
          <w:kern w:val="0"/>
          <w:sz w:val="32"/>
          <w:szCs w:val="32"/>
        </w:rPr>
        <w:t>交通运输综合执法机构</w:t>
      </w:r>
      <w:r>
        <w:rPr>
          <w:rFonts w:hint="eastAsia" w:ascii="仿宋_GB2312" w:eastAsia="仿宋_GB2312" w:cs="Arial"/>
          <w:b w:val="0"/>
          <w:bCs w:val="0"/>
          <w:kern w:val="0"/>
          <w:sz w:val="32"/>
          <w:szCs w:val="32"/>
        </w:rPr>
        <w:t>和公安机关交通管理部门等开展货运车辆超限超载联合执法，减少超限超载违法运输行为的发生。</w:t>
      </w:r>
    </w:p>
    <w:p>
      <w:pPr>
        <w:widowControl/>
        <w:spacing w:line="560" w:lineRule="exact"/>
        <w:ind w:firstLine="640" w:firstLineChars="200"/>
        <w:rPr>
          <w:rFonts w:ascii="仿宋_GB2312" w:eastAsia="仿宋_GB2312" w:cs="Arial"/>
          <w:b w:val="0"/>
          <w:bCs w:val="0"/>
          <w:kern w:val="0"/>
          <w:sz w:val="32"/>
          <w:szCs w:val="32"/>
        </w:rPr>
      </w:pPr>
      <w:r>
        <w:rPr>
          <w:rFonts w:hint="eastAsia" w:ascii="黑体" w:eastAsia="黑体" w:cs="黑体"/>
          <w:b w:val="0"/>
          <w:bCs w:val="0"/>
          <w:color w:val="333333"/>
          <w:sz w:val="32"/>
          <w:szCs w:val="32"/>
        </w:rPr>
        <w:t>第二十一条</w:t>
      </w:r>
      <w:r>
        <w:rPr>
          <w:rFonts w:hint="eastAsia" w:ascii="黑体" w:eastAsia="黑体" w:cs="Arial"/>
          <w:b w:val="0"/>
          <w:bCs w:val="0"/>
          <w:kern w:val="0"/>
          <w:sz w:val="32"/>
          <w:szCs w:val="32"/>
        </w:rPr>
        <w:t xml:space="preserve"> </w:t>
      </w:r>
      <w:r>
        <w:rPr>
          <w:rFonts w:hint="eastAsia" w:ascii="仿宋_GB2312" w:eastAsia="仿宋_GB2312" w:cs="Arial"/>
          <w:b w:val="0"/>
          <w:bCs w:val="0"/>
          <w:kern w:val="0"/>
          <w:sz w:val="32"/>
          <w:szCs w:val="32"/>
        </w:rPr>
        <w:t>对货运车辆进行超限超载检查，可以采取固定站点检测、流动检测、动态检测技术监控等方式。</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前款所称动态检测技术监控，是指利用设置在公路重要路段的自动称重和图像摄录设备，自动检测、拍摄和记录行驶中货运车辆的车货总质量、车辆图像等信息的行为。</w:t>
      </w:r>
    </w:p>
    <w:p>
      <w:pPr>
        <w:widowControl/>
        <w:spacing w:line="560" w:lineRule="exact"/>
        <w:ind w:firstLine="640" w:firstLineChars="200"/>
        <w:rPr>
          <w:rFonts w:ascii="仿宋_GB2312" w:eastAsia="仿宋_GB2312" w:cs="Arial"/>
          <w:b w:val="0"/>
          <w:bCs w:val="0"/>
          <w:kern w:val="0"/>
          <w:sz w:val="32"/>
          <w:szCs w:val="32"/>
        </w:rPr>
      </w:pPr>
      <w:r>
        <w:rPr>
          <w:rFonts w:hint="eastAsia" w:ascii="黑体" w:eastAsia="黑体" w:cs="黑体"/>
          <w:b w:val="0"/>
          <w:bCs w:val="0"/>
          <w:color w:val="333333"/>
          <w:sz w:val="32"/>
          <w:szCs w:val="32"/>
        </w:rPr>
        <w:t>第二十二条</w:t>
      </w:r>
      <w:r>
        <w:rPr>
          <w:rFonts w:hint="eastAsia" w:ascii="黑体" w:eastAsia="黑体" w:cs="Arial"/>
          <w:b w:val="0"/>
          <w:bCs w:val="0"/>
          <w:kern w:val="0"/>
          <w:sz w:val="32"/>
          <w:szCs w:val="32"/>
        </w:rPr>
        <w:t xml:space="preserve"> </w:t>
      </w:r>
      <w:r>
        <w:rPr>
          <w:rFonts w:hint="eastAsia" w:ascii="仿宋_GB2312" w:eastAsia="仿宋_GB2312" w:cs="Arial"/>
          <w:b w:val="0"/>
          <w:bCs w:val="0"/>
          <w:kern w:val="0"/>
          <w:sz w:val="32"/>
          <w:szCs w:val="32"/>
        </w:rPr>
        <w:t>省人民政府交通运输主管部门应当编制固定超限超载检测站点建设规划，报省人民政府批准。需要对原有站址作出调整的，应当经省人民政府交通运输主管部门同意；确需增设站点的，应当报省人民政府批准。</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新建、改建公路时，有经批准设置的固定超限超载检测站的，应当将其作为公路附属设施的组成部分，一并列入工程预算，与公路同步设计、同步建设、同步运行。</w:t>
      </w:r>
    </w:p>
    <w:p>
      <w:pPr>
        <w:widowControl/>
        <w:spacing w:line="560" w:lineRule="exact"/>
        <w:ind w:firstLine="640" w:firstLineChars="200"/>
        <w:rPr>
          <w:rFonts w:ascii="仿宋_GB2312" w:eastAsia="仿宋_GB2312" w:cs="Arial"/>
          <w:b w:val="0"/>
          <w:bCs w:val="0"/>
          <w:kern w:val="0"/>
          <w:sz w:val="32"/>
          <w:szCs w:val="32"/>
        </w:rPr>
      </w:pPr>
      <w:r>
        <w:rPr>
          <w:rFonts w:hint="eastAsia" w:ascii="黑体" w:eastAsia="黑体" w:cs="黑体"/>
          <w:b w:val="0"/>
          <w:bCs w:val="0"/>
          <w:color w:val="333333"/>
          <w:sz w:val="32"/>
          <w:szCs w:val="32"/>
        </w:rPr>
        <w:t>第二十三条</w:t>
      </w:r>
      <w:r>
        <w:rPr>
          <w:rFonts w:hint="eastAsia" w:ascii="黑体" w:eastAsia="黑体" w:cs="Arial"/>
          <w:b w:val="0"/>
          <w:bCs w:val="0"/>
          <w:kern w:val="0"/>
          <w:sz w:val="32"/>
          <w:szCs w:val="32"/>
        </w:rPr>
        <w:t xml:space="preserve"> </w:t>
      </w:r>
      <w:r>
        <w:rPr>
          <w:rFonts w:hint="eastAsia" w:ascii="仿宋_GB2312" w:eastAsia="仿宋_GB2312" w:cs="Arial"/>
          <w:b w:val="0"/>
          <w:bCs w:val="0"/>
          <w:kern w:val="0"/>
          <w:sz w:val="32"/>
          <w:szCs w:val="32"/>
        </w:rPr>
        <w:t>固定超限超载检测站点应当建立健全工作制度，规范检测、处罚、卸载等工作流程，并在显著位置设置公告栏，公示有关批准文书、计量检测设备合格证、执法主体、执法依据、执法程序、当事人权利等信息，接受社会公众的监督。</w:t>
      </w:r>
    </w:p>
    <w:p>
      <w:pPr>
        <w:widowControl/>
        <w:spacing w:line="560" w:lineRule="exact"/>
        <w:ind w:firstLine="640" w:firstLineChars="200"/>
        <w:rPr>
          <w:rFonts w:ascii="仿宋_GB2312" w:eastAsia="仿宋_GB2312" w:cs="Arial"/>
          <w:b w:val="0"/>
          <w:bCs w:val="0"/>
          <w:kern w:val="0"/>
          <w:sz w:val="32"/>
          <w:szCs w:val="32"/>
        </w:rPr>
      </w:pPr>
      <w:r>
        <w:rPr>
          <w:rFonts w:hint="eastAsia" w:ascii="黑体" w:eastAsia="黑体" w:cs="黑体"/>
          <w:b w:val="0"/>
          <w:bCs w:val="0"/>
          <w:color w:val="333333"/>
          <w:sz w:val="32"/>
          <w:szCs w:val="32"/>
        </w:rPr>
        <w:t>第二十四条</w:t>
      </w:r>
      <w:r>
        <w:rPr>
          <w:rFonts w:hint="eastAsia" w:ascii="黑体" w:eastAsia="黑体" w:cs="Arial"/>
          <w:b w:val="0"/>
          <w:bCs w:val="0"/>
          <w:kern w:val="0"/>
          <w:sz w:val="32"/>
          <w:szCs w:val="32"/>
        </w:rPr>
        <w:t xml:space="preserve"> </w:t>
      </w:r>
      <w:r>
        <w:rPr>
          <w:rFonts w:ascii="仿宋_GB2312" w:eastAsia="仿宋_GB2312"/>
          <w:b w:val="0"/>
          <w:bCs w:val="0"/>
          <w:kern w:val="0"/>
          <w:sz w:val="32"/>
          <w:szCs w:val="32"/>
        </w:rPr>
        <w:t>交通运输综合执法机构</w:t>
      </w:r>
      <w:r>
        <w:rPr>
          <w:rFonts w:hint="eastAsia" w:ascii="仿宋_GB2312" w:eastAsia="仿宋_GB2312" w:cs="Arial"/>
          <w:b w:val="0"/>
          <w:bCs w:val="0"/>
          <w:kern w:val="0"/>
          <w:sz w:val="32"/>
          <w:szCs w:val="32"/>
        </w:rPr>
        <w:t>和公安机关交通管理部门依托固定超限超载检测站点，对货运车辆进行超限超载检测、检查时，货运车辆应当按照超限超载检测指示标志或者监督检查人员的指挥接受超限超载检测，不得以故意堵塞固定超限超载检测站点通行车道、强行通过固定超限超载检测站点或者锁闭车门、窗等方式，逃避检测、扰乱检测秩序。</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对货运车辆避站绕行、短途驳载等行为，公安机关交通管理部门可以采取流动检测方式进行检查。经流动检测显示超限超载的货运车辆，应当就近引导至固定超限超载检测站或者交通运输主管部门指定并公布的场所进行确认后处理。</w:t>
      </w:r>
    </w:p>
    <w:p>
      <w:pPr>
        <w:widowControl/>
        <w:spacing w:line="560" w:lineRule="exact"/>
        <w:ind w:firstLine="640" w:firstLineChars="200"/>
        <w:rPr>
          <w:rFonts w:ascii="仿宋_GB2312" w:eastAsia="仿宋_GB2312" w:cs="Arial"/>
          <w:b w:val="0"/>
          <w:bCs w:val="0"/>
          <w:kern w:val="0"/>
          <w:sz w:val="32"/>
          <w:szCs w:val="32"/>
        </w:rPr>
      </w:pPr>
      <w:r>
        <w:rPr>
          <w:rFonts w:hint="eastAsia" w:ascii="黑体" w:eastAsia="黑体" w:cs="黑体"/>
          <w:b w:val="0"/>
          <w:bCs w:val="0"/>
          <w:color w:val="333333"/>
          <w:sz w:val="32"/>
          <w:szCs w:val="32"/>
        </w:rPr>
        <w:t>第二十五条</w:t>
      </w:r>
      <w:r>
        <w:rPr>
          <w:rFonts w:hint="eastAsia" w:ascii="黑体" w:eastAsia="黑体" w:cs="Arial"/>
          <w:b w:val="0"/>
          <w:bCs w:val="0"/>
          <w:kern w:val="0"/>
          <w:sz w:val="32"/>
          <w:szCs w:val="32"/>
        </w:rPr>
        <w:t xml:space="preserve"> </w:t>
      </w:r>
      <w:r>
        <w:rPr>
          <w:rFonts w:hint="eastAsia" w:ascii="仿宋_GB2312" w:eastAsia="仿宋_GB2312" w:cs="Arial"/>
          <w:b w:val="0"/>
          <w:bCs w:val="0"/>
          <w:kern w:val="0"/>
          <w:sz w:val="32"/>
          <w:szCs w:val="32"/>
        </w:rPr>
        <w:t>收费高速公路入口应当按照规定安装超限超载检测设备，对通行货运车辆进行检测，发现超载或者未经许可超限运输的货运车辆，收费高速公路经营者不得放行其驶入高速公路，并及时报告</w:t>
      </w:r>
      <w:r>
        <w:rPr>
          <w:rFonts w:ascii="仿宋_GB2312" w:eastAsia="仿宋_GB2312"/>
          <w:b w:val="0"/>
          <w:bCs w:val="0"/>
          <w:kern w:val="0"/>
          <w:sz w:val="32"/>
          <w:szCs w:val="32"/>
        </w:rPr>
        <w:t>交通运输综合执法机构</w:t>
      </w:r>
      <w:r>
        <w:rPr>
          <w:rFonts w:hint="eastAsia" w:ascii="仿宋_GB2312" w:eastAsia="仿宋_GB2312" w:cs="Arial"/>
          <w:b w:val="0"/>
          <w:bCs w:val="0"/>
          <w:kern w:val="0"/>
          <w:sz w:val="32"/>
          <w:szCs w:val="32"/>
        </w:rPr>
        <w:t>、公安机关交通管理部门，</w:t>
      </w:r>
      <w:r>
        <w:rPr>
          <w:rFonts w:ascii="仿宋_GB2312" w:eastAsia="仿宋_GB2312"/>
          <w:b w:val="0"/>
          <w:bCs w:val="0"/>
          <w:kern w:val="0"/>
          <w:sz w:val="32"/>
          <w:szCs w:val="32"/>
        </w:rPr>
        <w:t>交通运输综合执法机构</w:t>
      </w:r>
      <w:r>
        <w:rPr>
          <w:rFonts w:hint="eastAsia" w:ascii="仿宋_GB2312" w:eastAsia="仿宋_GB2312" w:cs="Arial"/>
          <w:b w:val="0"/>
          <w:bCs w:val="0"/>
          <w:kern w:val="0"/>
          <w:sz w:val="32"/>
          <w:szCs w:val="32"/>
        </w:rPr>
        <w:t>、公安机关交通管理部门应当依法处理。</w:t>
      </w:r>
    </w:p>
    <w:p>
      <w:pPr>
        <w:widowControl/>
        <w:spacing w:line="560" w:lineRule="exact"/>
        <w:ind w:firstLine="640" w:firstLineChars="200"/>
        <w:rPr>
          <w:rFonts w:ascii="仿宋_GB2312" w:eastAsia="仿宋_GB2312" w:cs="Arial"/>
          <w:b w:val="0"/>
          <w:bCs w:val="0"/>
          <w:kern w:val="0"/>
          <w:sz w:val="32"/>
          <w:szCs w:val="32"/>
        </w:rPr>
      </w:pPr>
      <w:r>
        <w:rPr>
          <w:rFonts w:hint="eastAsia" w:ascii="黑体" w:eastAsia="黑体" w:cs="黑体"/>
          <w:b w:val="0"/>
          <w:bCs w:val="0"/>
          <w:color w:val="333333"/>
          <w:sz w:val="32"/>
          <w:szCs w:val="32"/>
        </w:rPr>
        <w:t>第二十六条</w:t>
      </w:r>
      <w:r>
        <w:rPr>
          <w:rFonts w:hint="eastAsia" w:ascii="黑体" w:eastAsia="黑体" w:cs="Arial"/>
          <w:b w:val="0"/>
          <w:bCs w:val="0"/>
          <w:kern w:val="0"/>
          <w:sz w:val="32"/>
          <w:szCs w:val="32"/>
        </w:rPr>
        <w:t xml:space="preserve"> </w:t>
      </w:r>
      <w:r>
        <w:rPr>
          <w:rFonts w:hint="eastAsia" w:ascii="仿宋_GB2312" w:eastAsia="仿宋_GB2312" w:cs="Arial"/>
          <w:b w:val="0"/>
          <w:bCs w:val="0"/>
          <w:kern w:val="0"/>
          <w:sz w:val="32"/>
          <w:szCs w:val="32"/>
        </w:rPr>
        <w:t>经固定超限超载检测站点、收费高速公路入口处检测认定为超限超载的货运车辆，运输可解体物品的，</w:t>
      </w:r>
      <w:r>
        <w:rPr>
          <w:rFonts w:ascii="仿宋_GB2312" w:eastAsia="仿宋_GB2312"/>
          <w:b w:val="0"/>
          <w:bCs w:val="0"/>
          <w:kern w:val="0"/>
          <w:sz w:val="32"/>
          <w:szCs w:val="32"/>
        </w:rPr>
        <w:t>交通运输综合执法机构</w:t>
      </w:r>
      <w:r>
        <w:rPr>
          <w:rFonts w:hint="eastAsia" w:ascii="仿宋_GB2312" w:eastAsia="仿宋_GB2312" w:cs="Arial"/>
          <w:b w:val="0"/>
          <w:bCs w:val="0"/>
          <w:kern w:val="0"/>
          <w:sz w:val="32"/>
          <w:szCs w:val="32"/>
        </w:rPr>
        <w:t>或者公安机关交通管理部门应当责令承运人卸载，消除违法状态；对未经许可超限运输不可解体物品的，应当责令承运人停止违法行为，接受调查处理。经依法处理后，载运不可解体物品的超限货运车辆仍需在公路上行驶的，应当责令办理超限运输许可。</w:t>
      </w:r>
    </w:p>
    <w:p>
      <w:pPr>
        <w:widowControl/>
        <w:spacing w:line="560" w:lineRule="exact"/>
        <w:ind w:firstLine="640" w:firstLineChars="200"/>
        <w:rPr>
          <w:rFonts w:ascii="仿宋_GB2312" w:eastAsia="仿宋_GB2312" w:cs="Arial"/>
          <w:b w:val="0"/>
          <w:bCs w:val="0"/>
          <w:kern w:val="0"/>
          <w:sz w:val="32"/>
          <w:szCs w:val="32"/>
        </w:rPr>
      </w:pPr>
      <w:r>
        <w:rPr>
          <w:rFonts w:hint="eastAsia" w:ascii="黑体" w:eastAsia="黑体" w:cs="黑体"/>
          <w:b w:val="0"/>
          <w:bCs w:val="0"/>
          <w:color w:val="333333"/>
          <w:sz w:val="32"/>
          <w:szCs w:val="32"/>
        </w:rPr>
        <w:t>第二十七条</w:t>
      </w:r>
      <w:r>
        <w:rPr>
          <w:rFonts w:hint="eastAsia" w:ascii="黑体" w:eastAsia="黑体" w:cs="Arial"/>
          <w:b w:val="0"/>
          <w:bCs w:val="0"/>
          <w:kern w:val="0"/>
          <w:sz w:val="32"/>
          <w:szCs w:val="32"/>
        </w:rPr>
        <w:t xml:space="preserve"> </w:t>
      </w:r>
      <w:r>
        <w:rPr>
          <w:rFonts w:ascii="仿宋_GB2312" w:eastAsia="仿宋_GB2312" w:cs="Arial"/>
          <w:b w:val="0"/>
          <w:bCs w:val="0"/>
          <w:kern w:val="0"/>
          <w:sz w:val="32"/>
          <w:szCs w:val="32"/>
        </w:rPr>
        <w:t>交通运输主管部门</w:t>
      </w:r>
      <w:r>
        <w:rPr>
          <w:rFonts w:hint="eastAsia" w:ascii="仿宋_GB2312" w:eastAsia="仿宋_GB2312" w:cs="Arial"/>
          <w:b w:val="0"/>
          <w:bCs w:val="0"/>
          <w:kern w:val="0"/>
          <w:sz w:val="32"/>
          <w:szCs w:val="32"/>
        </w:rPr>
        <w:t>可以在公路的重要路段和节点，设置货运车辆超限超载动态检测技术监控设备。</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使用动态检测技术监控设备对货运车辆进行检测的，在动态技术监控设备投入使用前十五日，应当将设置监控设备的位置在本地主要报纸、</w:t>
      </w:r>
      <w:r>
        <w:rPr>
          <w:rFonts w:ascii="仿宋_GB2312" w:eastAsia="仿宋_GB2312" w:cs="Arial"/>
          <w:b w:val="0"/>
          <w:bCs w:val="0"/>
          <w:kern w:val="0"/>
          <w:sz w:val="32"/>
          <w:szCs w:val="32"/>
        </w:rPr>
        <w:t>交通运输主管部门</w:t>
      </w:r>
      <w:r>
        <w:rPr>
          <w:rFonts w:hint="eastAsia" w:ascii="仿宋_GB2312" w:eastAsia="仿宋_GB2312" w:cs="Arial"/>
          <w:b w:val="0"/>
          <w:bCs w:val="0"/>
          <w:kern w:val="0"/>
          <w:sz w:val="32"/>
          <w:szCs w:val="32"/>
        </w:rPr>
        <w:t>网站向社会公告，并在醒目处设置告示标志。</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对经动态检测技术监控设备检测显示超限超载的货运车辆，货运车辆驾驶人应当根据监控设备检测提示，即时到指定的地点接受处理。未即时接受处理的，</w:t>
      </w:r>
      <w:r>
        <w:rPr>
          <w:rFonts w:ascii="仿宋_GB2312" w:eastAsia="仿宋_GB2312" w:cs="Arial"/>
          <w:b w:val="0"/>
          <w:bCs w:val="0"/>
          <w:kern w:val="0"/>
          <w:sz w:val="32"/>
          <w:szCs w:val="32"/>
        </w:rPr>
        <w:t>交通运输主管部门</w:t>
      </w:r>
      <w:r>
        <w:rPr>
          <w:rFonts w:hint="eastAsia" w:ascii="仿宋_GB2312" w:eastAsia="仿宋_GB2312" w:cs="Arial"/>
          <w:b w:val="0"/>
          <w:bCs w:val="0"/>
          <w:kern w:val="0"/>
          <w:sz w:val="32"/>
          <w:szCs w:val="32"/>
        </w:rPr>
        <w:t>应当以书面通知、短信或者电话等方式告知货运车辆所有人，并可以依照《江西省公路条例》第三十六条规定，将有关记录资料移交公安机关交通管理部门依法处理。</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任何单位和个人不得损坏、擅自移动或者拆除动态检测技术监控设备。</w:t>
      </w:r>
    </w:p>
    <w:p>
      <w:pPr>
        <w:widowControl/>
        <w:spacing w:line="560" w:lineRule="exact"/>
        <w:ind w:firstLine="640" w:firstLineChars="200"/>
        <w:rPr>
          <w:rFonts w:ascii="仿宋_GB2312" w:eastAsia="仿宋_GB2312" w:cs="Arial"/>
          <w:b w:val="0"/>
          <w:bCs w:val="0"/>
          <w:kern w:val="0"/>
          <w:sz w:val="32"/>
          <w:szCs w:val="32"/>
        </w:rPr>
      </w:pPr>
      <w:r>
        <w:rPr>
          <w:rFonts w:hint="eastAsia" w:ascii="黑体" w:eastAsia="黑体" w:cs="黑体"/>
          <w:b w:val="0"/>
          <w:bCs w:val="0"/>
          <w:color w:val="333333"/>
          <w:sz w:val="32"/>
          <w:szCs w:val="32"/>
        </w:rPr>
        <w:t>第二十八条</w:t>
      </w:r>
      <w:r>
        <w:rPr>
          <w:rFonts w:hint="eastAsia" w:ascii="黑体" w:eastAsia="黑体" w:cs="Arial"/>
          <w:b w:val="0"/>
          <w:bCs w:val="0"/>
          <w:kern w:val="0"/>
          <w:sz w:val="32"/>
          <w:szCs w:val="32"/>
        </w:rPr>
        <w:t xml:space="preserve"> </w:t>
      </w:r>
      <w:r>
        <w:rPr>
          <w:rFonts w:hint="eastAsia" w:ascii="仿宋_GB2312" w:eastAsia="仿宋_GB2312" w:cs="Arial"/>
          <w:b w:val="0"/>
          <w:bCs w:val="0"/>
          <w:kern w:val="0"/>
          <w:sz w:val="32"/>
          <w:szCs w:val="32"/>
        </w:rPr>
        <w:t>货运车辆途经动态检测技术监控区域时，应当按照交通标志标线行驶，禁止下列行为：</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（一）采取超低速行驶、变道、跨道、急刹车或者多车辆首尾紧随等方法干扰动态检测技术监控；</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（二）通过故意遮挡、污损或者使用伪造的机动车号牌等方式干扰动态检测技术监控；</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（三）逃避动态检测技术监控的其他行为。</w:t>
      </w:r>
    </w:p>
    <w:p>
      <w:pPr>
        <w:widowControl/>
        <w:spacing w:line="560" w:lineRule="exact"/>
        <w:ind w:firstLine="640" w:firstLineChars="200"/>
        <w:rPr>
          <w:rFonts w:ascii="仿宋_GB2312" w:eastAsia="仿宋_GB2312" w:cs="Arial"/>
          <w:b w:val="0"/>
          <w:bCs w:val="0"/>
          <w:kern w:val="0"/>
          <w:sz w:val="32"/>
          <w:szCs w:val="32"/>
        </w:rPr>
      </w:pPr>
      <w:r>
        <w:rPr>
          <w:rFonts w:hint="eastAsia" w:ascii="黑体" w:eastAsia="黑体" w:cs="黑体"/>
          <w:b w:val="0"/>
          <w:bCs w:val="0"/>
          <w:color w:val="333333"/>
          <w:sz w:val="32"/>
          <w:szCs w:val="32"/>
        </w:rPr>
        <w:t>第二十九条</w:t>
      </w:r>
      <w:r>
        <w:rPr>
          <w:rFonts w:hint="eastAsia" w:ascii="黑体" w:eastAsia="黑体" w:cs="Arial"/>
          <w:b w:val="0"/>
          <w:bCs w:val="0"/>
          <w:kern w:val="0"/>
          <w:sz w:val="32"/>
          <w:szCs w:val="32"/>
        </w:rPr>
        <w:t xml:space="preserve"> </w:t>
      </w:r>
      <w:r>
        <w:rPr>
          <w:rFonts w:hint="eastAsia" w:ascii="仿宋_GB2312" w:eastAsia="仿宋_GB2312" w:cs="Arial"/>
          <w:b w:val="0"/>
          <w:bCs w:val="0"/>
          <w:kern w:val="0"/>
          <w:sz w:val="32"/>
          <w:szCs w:val="32"/>
        </w:rPr>
        <w:t>固定超限超载检测站点、收费高速公路入口使用的检测设备和动态检测技术监控设备中的称重装置应当经质量技术监督部门指定的计量检定机构检定。未经检定或者经检定不合格的，其检测数据无效。</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经维修、移动的称重装置，应当重新申请检定。</w:t>
      </w:r>
    </w:p>
    <w:p>
      <w:pPr>
        <w:widowControl/>
        <w:spacing w:line="560" w:lineRule="exact"/>
        <w:ind w:firstLine="640" w:firstLineChars="200"/>
        <w:rPr>
          <w:rFonts w:ascii="仿宋_GB2312" w:eastAsia="仿宋_GB2312" w:cs="Arial"/>
          <w:b w:val="0"/>
          <w:bCs w:val="0"/>
          <w:kern w:val="0"/>
          <w:sz w:val="32"/>
          <w:szCs w:val="32"/>
        </w:rPr>
      </w:pPr>
      <w:r>
        <w:rPr>
          <w:rFonts w:ascii="仿宋_GB2312" w:eastAsia="仿宋_GB2312"/>
          <w:b w:val="0"/>
          <w:bCs w:val="0"/>
          <w:kern w:val="0"/>
          <w:sz w:val="32"/>
          <w:szCs w:val="32"/>
        </w:rPr>
        <w:t>交通运输综合执法机构</w:t>
      </w:r>
      <w:r>
        <w:rPr>
          <w:rFonts w:hint="eastAsia" w:ascii="仿宋_GB2312" w:eastAsia="仿宋_GB2312" w:cs="Arial"/>
          <w:b w:val="0"/>
          <w:bCs w:val="0"/>
          <w:kern w:val="0"/>
          <w:sz w:val="32"/>
          <w:szCs w:val="32"/>
        </w:rPr>
        <w:t>、公安机关交通管理部门应当为计量检定提供必要条件。</w:t>
      </w:r>
    </w:p>
    <w:p>
      <w:pPr>
        <w:widowControl/>
        <w:spacing w:line="560" w:lineRule="exact"/>
        <w:ind w:firstLine="640" w:firstLineChars="200"/>
        <w:rPr>
          <w:rFonts w:hint="eastAsia" w:ascii="仿宋_GB2312" w:eastAsia="仿宋_GB2312" w:cs="Arial"/>
          <w:b w:val="0"/>
          <w:bCs w:val="0"/>
          <w:kern w:val="0"/>
          <w:sz w:val="32"/>
          <w:szCs w:val="32"/>
        </w:rPr>
      </w:pPr>
    </w:p>
    <w:p>
      <w:pPr>
        <w:jc w:val="center"/>
        <w:rPr>
          <w:rFonts w:ascii="黑体" w:eastAsia="黑体" w:cs="黑体"/>
          <w:b w:val="0"/>
          <w:bCs w:val="0"/>
          <w:color w:val="333333"/>
          <w:sz w:val="32"/>
          <w:szCs w:val="32"/>
        </w:rPr>
      </w:pPr>
      <w:r>
        <w:rPr>
          <w:rFonts w:hint="eastAsia" w:ascii="黑体" w:eastAsia="黑体" w:cs="黑体"/>
          <w:b w:val="0"/>
          <w:bCs w:val="0"/>
          <w:color w:val="333333"/>
          <w:sz w:val="32"/>
          <w:szCs w:val="32"/>
        </w:rPr>
        <w:t>第四章 法律责任</w:t>
      </w:r>
    </w:p>
    <w:p>
      <w:pPr>
        <w:widowControl/>
        <w:spacing w:line="560" w:lineRule="exact"/>
        <w:ind w:firstLine="640" w:firstLineChars="200"/>
        <w:rPr>
          <w:rFonts w:ascii="黑体" w:eastAsia="黑体" w:cs="黑体"/>
          <w:b w:val="0"/>
          <w:bCs w:val="0"/>
          <w:color w:val="333333"/>
          <w:sz w:val="32"/>
          <w:szCs w:val="32"/>
        </w:rPr>
      </w:pPr>
    </w:p>
    <w:p>
      <w:pPr>
        <w:widowControl/>
        <w:spacing w:line="560" w:lineRule="exact"/>
        <w:ind w:firstLine="640" w:firstLineChars="200"/>
        <w:rPr>
          <w:rFonts w:ascii="仿宋_GB2312" w:eastAsia="仿宋_GB2312" w:cs="Arial"/>
          <w:b w:val="0"/>
          <w:bCs w:val="0"/>
          <w:kern w:val="0"/>
          <w:sz w:val="32"/>
          <w:szCs w:val="32"/>
        </w:rPr>
      </w:pPr>
      <w:r>
        <w:rPr>
          <w:rFonts w:hint="eastAsia" w:ascii="黑体" w:eastAsia="黑体" w:cs="黑体"/>
          <w:b w:val="0"/>
          <w:bCs w:val="0"/>
          <w:color w:val="333333"/>
          <w:sz w:val="32"/>
          <w:szCs w:val="32"/>
        </w:rPr>
        <w:t>第三十条</w:t>
      </w:r>
      <w:r>
        <w:rPr>
          <w:rFonts w:hint="eastAsia" w:ascii="黑体" w:eastAsia="黑体" w:cs="Arial"/>
          <w:b w:val="0"/>
          <w:bCs w:val="0"/>
          <w:kern w:val="0"/>
          <w:sz w:val="32"/>
          <w:szCs w:val="32"/>
        </w:rPr>
        <w:t xml:space="preserve"> </w:t>
      </w:r>
      <w:r>
        <w:rPr>
          <w:rFonts w:hint="eastAsia" w:ascii="仿宋_GB2312" w:eastAsia="仿宋_GB2312" w:cs="Arial"/>
          <w:b w:val="0"/>
          <w:bCs w:val="0"/>
          <w:kern w:val="0"/>
          <w:sz w:val="32"/>
          <w:szCs w:val="32"/>
        </w:rPr>
        <w:t>违反本办法规定，有关法律、法规有法律责任规定的，从其规定。</w:t>
      </w:r>
    </w:p>
    <w:p>
      <w:pPr>
        <w:widowControl/>
        <w:spacing w:line="560" w:lineRule="exact"/>
        <w:ind w:firstLine="640" w:firstLineChars="200"/>
        <w:rPr>
          <w:rFonts w:ascii="仿宋_GB2312" w:eastAsia="仿宋_GB2312" w:cs="Arial"/>
          <w:b w:val="0"/>
          <w:bCs w:val="0"/>
          <w:kern w:val="0"/>
          <w:sz w:val="32"/>
          <w:szCs w:val="32"/>
        </w:rPr>
      </w:pPr>
      <w:r>
        <w:rPr>
          <w:rFonts w:hint="eastAsia" w:ascii="黑体" w:eastAsia="黑体" w:cs="黑体"/>
          <w:b w:val="0"/>
          <w:bCs w:val="0"/>
          <w:color w:val="333333"/>
          <w:sz w:val="32"/>
          <w:szCs w:val="32"/>
        </w:rPr>
        <w:t>第三十一条</w:t>
      </w:r>
      <w:r>
        <w:rPr>
          <w:rFonts w:hint="eastAsia" w:ascii="黑体" w:eastAsia="黑体" w:cs="Arial"/>
          <w:b w:val="0"/>
          <w:bCs w:val="0"/>
          <w:kern w:val="0"/>
          <w:sz w:val="32"/>
          <w:szCs w:val="32"/>
        </w:rPr>
        <w:t xml:space="preserve"> </w:t>
      </w:r>
      <w:r>
        <w:rPr>
          <w:rFonts w:hint="eastAsia" w:ascii="仿宋_GB2312" w:eastAsia="仿宋_GB2312" w:cs="Arial"/>
          <w:b w:val="0"/>
          <w:bCs w:val="0"/>
          <w:kern w:val="0"/>
          <w:sz w:val="32"/>
          <w:szCs w:val="32"/>
        </w:rPr>
        <w:t>违反本办法规定，指使、强令车辆驾驶人超载或者未经许可超限运输货物的，责令改正，处一万元以下罚款；情节严重的，处一万元以上三万元以下罚款。</w:t>
      </w:r>
    </w:p>
    <w:p>
      <w:pPr>
        <w:widowControl/>
        <w:spacing w:line="560" w:lineRule="exact"/>
        <w:ind w:firstLine="640" w:firstLineChars="200"/>
        <w:rPr>
          <w:rFonts w:ascii="仿宋_GB2312" w:eastAsia="仿宋_GB2312" w:cs="Arial"/>
          <w:b w:val="0"/>
          <w:bCs w:val="0"/>
          <w:kern w:val="0"/>
          <w:sz w:val="32"/>
          <w:szCs w:val="32"/>
        </w:rPr>
      </w:pPr>
      <w:r>
        <w:rPr>
          <w:rFonts w:hint="eastAsia" w:ascii="黑体" w:eastAsia="黑体" w:cs="黑体"/>
          <w:b w:val="0"/>
          <w:bCs w:val="0"/>
          <w:color w:val="333333"/>
          <w:sz w:val="32"/>
          <w:szCs w:val="32"/>
        </w:rPr>
        <w:t>第三十二条</w:t>
      </w:r>
      <w:r>
        <w:rPr>
          <w:rFonts w:hint="eastAsia" w:ascii="仿宋_GB2312" w:eastAsia="仿宋_GB2312" w:cs="Arial"/>
          <w:b w:val="0"/>
          <w:bCs w:val="0"/>
          <w:kern w:val="0"/>
          <w:sz w:val="32"/>
          <w:szCs w:val="32"/>
        </w:rPr>
        <w:t xml:space="preserve"> 违反本办法规定，损坏、擅自移动或者拆除动态检测技术监控设备的，责令改正，可以处五千元以下罚款；情节严重的，处五千元以上三万元以下罚款。</w:t>
      </w:r>
    </w:p>
    <w:p>
      <w:pPr>
        <w:widowControl/>
        <w:spacing w:line="560" w:lineRule="exact"/>
        <w:ind w:firstLine="640" w:firstLineChars="200"/>
        <w:rPr>
          <w:rFonts w:ascii="仿宋_GB2312" w:eastAsia="仿宋_GB2312" w:cs="Arial"/>
          <w:b w:val="0"/>
          <w:bCs w:val="0"/>
          <w:kern w:val="0"/>
          <w:sz w:val="32"/>
          <w:szCs w:val="32"/>
        </w:rPr>
      </w:pPr>
      <w:r>
        <w:rPr>
          <w:rFonts w:hint="eastAsia" w:ascii="黑体" w:eastAsia="黑体" w:cs="黑体"/>
          <w:b w:val="0"/>
          <w:bCs w:val="0"/>
          <w:color w:val="333333"/>
          <w:sz w:val="32"/>
          <w:szCs w:val="32"/>
        </w:rPr>
        <w:t>第三十三条</w:t>
      </w:r>
      <w:r>
        <w:rPr>
          <w:rFonts w:hint="eastAsia" w:ascii="黑体" w:eastAsia="黑体" w:cs="Arial"/>
          <w:b w:val="0"/>
          <w:bCs w:val="0"/>
          <w:kern w:val="0"/>
          <w:sz w:val="32"/>
          <w:szCs w:val="32"/>
        </w:rPr>
        <w:t xml:space="preserve"> </w:t>
      </w:r>
      <w:r>
        <w:rPr>
          <w:rFonts w:hint="eastAsia" w:ascii="仿宋_GB2312" w:eastAsia="仿宋_GB2312" w:cs="Arial"/>
          <w:b w:val="0"/>
          <w:bCs w:val="0"/>
          <w:kern w:val="0"/>
          <w:sz w:val="32"/>
          <w:szCs w:val="32"/>
        </w:rPr>
        <w:t>对一年内违法超限运输超过三次的货运车辆，吊销其车辆营运证；对一年内违法超限运输超过三次的货运车辆驾驶人，责令其停止从事营业性运输；道路运输企业一年内违法超限运输的货运车辆超过本单位货运车辆总数百分之十的，责令道路运输企业停业整顿；情节严重的，吊销其道路运输经营许可证，并向社会公告。</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依照前款规定被吊销道路运输经营许可证的，自吊销之日起二年内不得申请相应范围的道路运输及相关业务经营许可。被吊销车辆营运证的，自吊销之日起二年内不得申请道路运输车辆营运证。</w:t>
      </w:r>
    </w:p>
    <w:p>
      <w:pPr>
        <w:widowControl/>
        <w:spacing w:line="560" w:lineRule="exact"/>
        <w:ind w:firstLine="640" w:firstLineChars="200"/>
        <w:rPr>
          <w:rFonts w:ascii="仿宋_GB2312" w:eastAsia="仿宋_GB2312" w:cs="Arial"/>
          <w:b w:val="0"/>
          <w:bCs w:val="0"/>
          <w:kern w:val="0"/>
          <w:sz w:val="32"/>
          <w:szCs w:val="32"/>
        </w:rPr>
      </w:pPr>
      <w:r>
        <w:rPr>
          <w:rFonts w:hint="eastAsia" w:ascii="黑体" w:eastAsia="黑体" w:cs="黑体"/>
          <w:b w:val="0"/>
          <w:bCs w:val="0"/>
          <w:color w:val="333333"/>
          <w:sz w:val="32"/>
          <w:szCs w:val="32"/>
        </w:rPr>
        <w:t>第三十四条</w:t>
      </w:r>
      <w:r>
        <w:rPr>
          <w:rFonts w:hint="eastAsia" w:ascii="黑体" w:eastAsia="黑体" w:cs="Arial"/>
          <w:b w:val="0"/>
          <w:bCs w:val="0"/>
          <w:kern w:val="0"/>
          <w:sz w:val="32"/>
          <w:szCs w:val="32"/>
        </w:rPr>
        <w:t xml:space="preserve"> </w:t>
      </w:r>
      <w:r>
        <w:rPr>
          <w:rFonts w:hint="eastAsia" w:ascii="仿宋_GB2312" w:eastAsia="仿宋_GB2312" w:cs="Arial"/>
          <w:b w:val="0"/>
          <w:bCs w:val="0"/>
          <w:kern w:val="0"/>
          <w:sz w:val="32"/>
          <w:szCs w:val="32"/>
        </w:rPr>
        <w:t>县级以上人民政府负有治理货运车辆超限超载工作职责的单位和人员有下列情形之一的，对其主管人员和直接责任人员，由任免单位或者监察机关依照有关规定给予处分；构成犯罪的，依法追究刑事责任：</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（一）对不符合机动车国家安全技术标准的货运车辆予以注册登记、发放检验合格标志的；</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（二）对不符合机动车国家安全技术标准的货运车辆核发车辆营运证的；</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（三）违反规定为超限运输车辆办理通行证的；</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（四）违反规定放行超限超载货运车辆或者不责令承运人消除违法状态的；</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（五）接到货运车辆超限超载违法行为的投诉、举报，未及时组织核查并依法处理的；</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（六）索取、收受他人财物或者谋取其他利益的；</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（七）使用未经检定或者经检定不合格的检测设备的；</w:t>
      </w:r>
    </w:p>
    <w:p>
      <w:pPr>
        <w:widowControl/>
        <w:spacing w:line="560" w:lineRule="exact"/>
        <w:ind w:firstLine="640" w:firstLineChars="200"/>
        <w:rPr>
          <w:rFonts w:ascii="仿宋_GB2312" w:eastAsia="仿宋_GB2312" w:cs="Arial"/>
          <w:b w:val="0"/>
          <w:bCs w:val="0"/>
          <w:kern w:val="0"/>
          <w:sz w:val="32"/>
          <w:szCs w:val="32"/>
        </w:rPr>
      </w:pPr>
      <w:r>
        <w:rPr>
          <w:rFonts w:hint="eastAsia" w:ascii="仿宋_GB2312" w:eastAsia="仿宋_GB2312" w:cs="Arial"/>
          <w:b w:val="0"/>
          <w:bCs w:val="0"/>
          <w:kern w:val="0"/>
          <w:sz w:val="32"/>
          <w:szCs w:val="32"/>
        </w:rPr>
        <w:t>（八）其他滥用职权、玩忽职守、徇私舞弊行为的。</w:t>
      </w:r>
    </w:p>
    <w:p>
      <w:pPr>
        <w:widowControl/>
        <w:spacing w:line="560" w:lineRule="exact"/>
        <w:ind w:firstLine="640" w:firstLineChars="200"/>
        <w:rPr>
          <w:rFonts w:hint="eastAsia" w:ascii="仿宋_GB2312" w:eastAsia="仿宋_GB2312" w:cs="Arial"/>
          <w:b w:val="0"/>
          <w:bCs w:val="0"/>
          <w:kern w:val="0"/>
          <w:sz w:val="32"/>
          <w:szCs w:val="32"/>
        </w:rPr>
      </w:pPr>
    </w:p>
    <w:p>
      <w:pPr>
        <w:jc w:val="center"/>
        <w:rPr>
          <w:rFonts w:ascii="黑体" w:eastAsia="黑体" w:cs="黑体"/>
          <w:b w:val="0"/>
          <w:bCs w:val="0"/>
          <w:color w:val="333333"/>
          <w:sz w:val="32"/>
          <w:szCs w:val="32"/>
        </w:rPr>
      </w:pPr>
      <w:r>
        <w:rPr>
          <w:rFonts w:hint="eastAsia" w:ascii="黑体" w:eastAsia="黑体" w:cs="黑体"/>
          <w:b w:val="0"/>
          <w:bCs w:val="0"/>
          <w:color w:val="333333"/>
          <w:sz w:val="32"/>
          <w:szCs w:val="32"/>
        </w:rPr>
        <w:t>第五章 附则</w:t>
      </w:r>
    </w:p>
    <w:p>
      <w:pPr>
        <w:widowControl/>
        <w:spacing w:line="560" w:lineRule="exact"/>
        <w:ind w:firstLine="640" w:firstLineChars="200"/>
        <w:rPr>
          <w:rFonts w:ascii="黑体" w:eastAsia="黑体" w:cs="黑体"/>
          <w:b w:val="0"/>
          <w:bCs w:val="0"/>
          <w:color w:val="333333"/>
          <w:sz w:val="32"/>
          <w:szCs w:val="32"/>
        </w:rPr>
      </w:pPr>
    </w:p>
    <w:p>
      <w:pPr>
        <w:widowControl/>
        <w:spacing w:line="560" w:lineRule="exact"/>
        <w:ind w:firstLine="640" w:firstLineChars="200"/>
        <w:rPr>
          <w:rFonts w:ascii="仿宋_GB2312" w:eastAsia="仿宋_GB2312" w:cs="Arial"/>
          <w:b w:val="0"/>
          <w:bCs w:val="0"/>
          <w:kern w:val="0"/>
          <w:sz w:val="32"/>
          <w:szCs w:val="32"/>
        </w:rPr>
      </w:pPr>
      <w:r>
        <w:rPr>
          <w:rFonts w:hint="eastAsia" w:ascii="黑体" w:eastAsia="黑体" w:cs="黑体"/>
          <w:b w:val="0"/>
          <w:bCs w:val="0"/>
          <w:color w:val="333333"/>
          <w:sz w:val="32"/>
          <w:szCs w:val="32"/>
        </w:rPr>
        <w:t>第三十五条</w:t>
      </w:r>
      <w:r>
        <w:rPr>
          <w:rFonts w:hint="eastAsia" w:ascii="黑体" w:eastAsia="黑体" w:cs="Arial"/>
          <w:b w:val="0"/>
          <w:bCs w:val="0"/>
          <w:kern w:val="0"/>
          <w:sz w:val="32"/>
          <w:szCs w:val="32"/>
        </w:rPr>
        <w:t xml:space="preserve"> </w:t>
      </w:r>
      <w:r>
        <w:rPr>
          <w:rFonts w:hint="eastAsia" w:ascii="仿宋_GB2312" w:eastAsia="仿宋_GB2312" w:cs="Arial"/>
          <w:b w:val="0"/>
          <w:bCs w:val="0"/>
          <w:kern w:val="0"/>
          <w:sz w:val="32"/>
          <w:szCs w:val="32"/>
        </w:rPr>
        <w:t>城市道路货运车辆超限超载的治理，由设区的市根据有关法律法规制定具体规定。</w:t>
      </w:r>
    </w:p>
    <w:p>
      <w:pPr>
        <w:widowControl/>
        <w:spacing w:line="560" w:lineRule="exact"/>
        <w:ind w:firstLine="640" w:firstLineChars="200"/>
        <w:rPr>
          <w:rFonts w:hint="eastAsia" w:ascii="仿宋_GB2312" w:eastAsia="仿宋_GB2312"/>
          <w:b w:val="0"/>
          <w:bCs w:val="0"/>
          <w:kern w:val="0"/>
          <w:sz w:val="32"/>
          <w:szCs w:val="32"/>
        </w:rPr>
      </w:pPr>
      <w:r>
        <w:rPr>
          <w:rFonts w:hint="eastAsia" w:ascii="黑体" w:eastAsia="黑体" w:cs="黑体"/>
          <w:b w:val="0"/>
          <w:bCs w:val="0"/>
          <w:color w:val="333333"/>
          <w:sz w:val="32"/>
          <w:szCs w:val="32"/>
        </w:rPr>
        <w:t>第三十六条</w:t>
      </w:r>
      <w:r>
        <w:rPr>
          <w:rFonts w:ascii="仿宋_GB2312" w:eastAsia="仿宋_GB2312" w:cs="Arial"/>
          <w:b w:val="0"/>
          <w:bCs w:val="0"/>
          <w:kern w:val="0"/>
          <w:sz w:val="32"/>
          <w:szCs w:val="32"/>
        </w:rPr>
        <w:t xml:space="preserve"> </w:t>
      </w:r>
      <w:r>
        <w:rPr>
          <w:rFonts w:hint="eastAsia" w:ascii="仿宋_GB2312" w:eastAsia="仿宋_GB2312"/>
          <w:b w:val="0"/>
          <w:bCs w:val="0"/>
          <w:kern w:val="0"/>
          <w:sz w:val="32"/>
          <w:szCs w:val="32"/>
        </w:rPr>
        <w:t>本办法规定的行政处罚、行政强制,由省、设区的市和县级交通运输综合执法机构以本级人民政府交通运输主管部门的名义实施</w:t>
      </w:r>
      <w:r>
        <w:rPr>
          <w:rFonts w:ascii="仿宋_GB2312" w:eastAsia="仿宋_GB2312"/>
          <w:b w:val="0"/>
          <w:bCs w:val="0"/>
          <w:kern w:val="0"/>
          <w:sz w:val="32"/>
          <w:szCs w:val="32"/>
        </w:rPr>
        <w:t>。</w:t>
      </w:r>
    </w:p>
    <w:p>
      <w:pPr>
        <w:widowControl/>
        <w:spacing w:line="560" w:lineRule="exact"/>
        <w:ind w:firstLine="640" w:firstLineChars="200"/>
        <w:rPr>
          <w:rFonts w:hint="eastAsia" w:ascii="仿宋_GB2312" w:eastAsia="仿宋_GB2312" w:cs="Arial"/>
          <w:b w:val="0"/>
          <w:bCs w:val="0"/>
          <w:kern w:val="0"/>
          <w:sz w:val="32"/>
          <w:szCs w:val="32"/>
        </w:rPr>
      </w:pPr>
      <w:r>
        <w:rPr>
          <w:rFonts w:hint="eastAsia" w:ascii="黑体" w:eastAsia="黑体" w:cs="黑体"/>
          <w:b w:val="0"/>
          <w:bCs w:val="0"/>
          <w:color w:val="333333"/>
          <w:sz w:val="32"/>
          <w:szCs w:val="32"/>
        </w:rPr>
        <w:t>第三十</w:t>
      </w:r>
      <w:r>
        <w:rPr>
          <w:rFonts w:ascii="黑体" w:eastAsia="黑体" w:cs="黑体"/>
          <w:b w:val="0"/>
          <w:bCs w:val="0"/>
          <w:color w:val="333333"/>
          <w:sz w:val="32"/>
          <w:szCs w:val="32"/>
        </w:rPr>
        <w:t>七</w:t>
      </w:r>
      <w:r>
        <w:rPr>
          <w:rFonts w:hint="eastAsia" w:ascii="黑体" w:eastAsia="黑体" w:cs="黑体"/>
          <w:b w:val="0"/>
          <w:bCs w:val="0"/>
          <w:color w:val="333333"/>
          <w:sz w:val="32"/>
          <w:szCs w:val="32"/>
        </w:rPr>
        <w:t>条</w:t>
      </w:r>
      <w:r>
        <w:rPr>
          <w:rFonts w:hint="eastAsia" w:ascii="仿宋_GB2312" w:eastAsia="仿宋_GB2312" w:cs="Arial"/>
          <w:b w:val="0"/>
          <w:bCs w:val="0"/>
          <w:kern w:val="0"/>
          <w:sz w:val="32"/>
          <w:szCs w:val="32"/>
        </w:rPr>
        <w:t xml:space="preserve"> 本办法自2018年2月1日起施行。</w:t>
      </w:r>
    </w:p>
    <w:p>
      <w:pPr>
        <w:widowControl/>
        <w:spacing w:line="560" w:lineRule="exact"/>
        <w:ind w:firstLine="630"/>
        <w:rPr>
          <w:rFonts w:hint="eastAsia" w:ascii="仿宋_GB2312" w:hAnsi="Arial" w:eastAsia="仿宋_GB2312" w:cs="Arial"/>
          <w:kern w:val="0"/>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ingFang-SC-Medium">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江西</w:t>
    </w:r>
    <w:r>
      <w:rPr>
        <w:rFonts w:ascii="宋体" w:hAnsi="宋体" w:eastAsia="宋体" w:cs="宋体"/>
        <w:b/>
        <w:bCs/>
        <w:color w:val="005192"/>
        <w:sz w:val="28"/>
        <w:szCs w:val="44"/>
      </w:rPr>
      <w:t>省</w:t>
    </w:r>
    <w:r>
      <w:rPr>
        <w:rFonts w:hint="eastAsia" w:ascii="宋体" w:hAnsi="宋体" w:eastAsia="宋体" w:cs="宋体"/>
        <w:b/>
        <w:bCs/>
        <w:color w:val="005192"/>
        <w:sz w:val="28"/>
        <w:szCs w:val="44"/>
      </w:rPr>
      <w:t xml:space="preserve">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江西省</w:t>
    </w:r>
    <w:r>
      <w:rPr>
        <w:rFonts w:ascii="宋体" w:hAnsi="宋体" w:eastAsia="宋体" w:cs="宋体"/>
        <w:b/>
        <w:bCs/>
        <w:color w:val="005192"/>
        <w:sz w:val="32"/>
        <w:szCs w:val="32"/>
      </w:rPr>
      <w:t>人民政府</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iOGE0MWY1NGE4YzM5YWQ3MWFmODljMTdkNGQxNWMifQ=="/>
  </w:docVars>
  <w:rsids>
    <w:rsidRoot w:val="00172A27"/>
    <w:rsid w:val="00057FA2"/>
    <w:rsid w:val="0013247B"/>
    <w:rsid w:val="00170BB2"/>
    <w:rsid w:val="00172A27"/>
    <w:rsid w:val="001F26EE"/>
    <w:rsid w:val="00373C21"/>
    <w:rsid w:val="0038487F"/>
    <w:rsid w:val="004C4DA3"/>
    <w:rsid w:val="004E1E80"/>
    <w:rsid w:val="0058779C"/>
    <w:rsid w:val="005F39AA"/>
    <w:rsid w:val="00637BB7"/>
    <w:rsid w:val="007011C1"/>
    <w:rsid w:val="007234DE"/>
    <w:rsid w:val="00754045"/>
    <w:rsid w:val="007B03F9"/>
    <w:rsid w:val="007C2019"/>
    <w:rsid w:val="008155B4"/>
    <w:rsid w:val="00851E66"/>
    <w:rsid w:val="00923263"/>
    <w:rsid w:val="00A26578"/>
    <w:rsid w:val="00A50A12"/>
    <w:rsid w:val="00A76B4E"/>
    <w:rsid w:val="00A92788"/>
    <w:rsid w:val="00AA6395"/>
    <w:rsid w:val="00B033EE"/>
    <w:rsid w:val="00BE319D"/>
    <w:rsid w:val="00C671B6"/>
    <w:rsid w:val="00CC5171"/>
    <w:rsid w:val="00D30AEA"/>
    <w:rsid w:val="00D74D40"/>
    <w:rsid w:val="00DB72D3"/>
    <w:rsid w:val="00E0152E"/>
    <w:rsid w:val="00F96E0B"/>
    <w:rsid w:val="00FC7BB7"/>
    <w:rsid w:val="018C7B99"/>
    <w:rsid w:val="019E71BD"/>
    <w:rsid w:val="04B679C3"/>
    <w:rsid w:val="080F63D8"/>
    <w:rsid w:val="09341458"/>
    <w:rsid w:val="0B0912D7"/>
    <w:rsid w:val="0EEF0D74"/>
    <w:rsid w:val="152D2DCA"/>
    <w:rsid w:val="1DEC284C"/>
    <w:rsid w:val="1E6523AC"/>
    <w:rsid w:val="22440422"/>
    <w:rsid w:val="28447CD2"/>
    <w:rsid w:val="31A15F24"/>
    <w:rsid w:val="395347B5"/>
    <w:rsid w:val="39A232A0"/>
    <w:rsid w:val="39E745AA"/>
    <w:rsid w:val="3B5A6BBB"/>
    <w:rsid w:val="3EDA13A6"/>
    <w:rsid w:val="42F058B7"/>
    <w:rsid w:val="436109F6"/>
    <w:rsid w:val="441A38D4"/>
    <w:rsid w:val="4BC77339"/>
    <w:rsid w:val="4C9236C5"/>
    <w:rsid w:val="4FF82A8A"/>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character" w:styleId="9">
    <w:name w:val="page number"/>
    <w:basedOn w:val="8"/>
    <w:qFormat/>
    <w:uiPriority w:val="0"/>
  </w:style>
  <w:style w:type="character" w:styleId="10">
    <w:name w:val="annotation reference"/>
    <w:basedOn w:val="8"/>
    <w:qFormat/>
    <w:uiPriority w:val="0"/>
    <w:rPr>
      <w:sz w:val="21"/>
      <w:szCs w:val="21"/>
    </w:rPr>
  </w:style>
  <w:style w:type="character" w:customStyle="1" w:styleId="11">
    <w:name w:val="批注框文本 Char"/>
    <w:basedOn w:val="8"/>
    <w:link w:val="3"/>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JXIC</Company>
  <Pages>17</Pages>
  <Words>6254</Words>
  <Characters>6284</Characters>
  <Lines>30</Lines>
  <Paragraphs>8</Paragraphs>
  <TotalTime>0</TotalTime>
  <ScaleCrop>false</ScaleCrop>
  <LinksUpToDate>false</LinksUpToDate>
  <CharactersWithSpaces>6532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万慧娟</cp:lastModifiedBy>
  <cp:lastPrinted>2021-10-26T03:30:00Z</cp:lastPrinted>
  <dcterms:modified xsi:type="dcterms:W3CDTF">2023-09-28T08:42:57Z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A8BBBA48FAA94E5D888F2DA43007D309_13</vt:lpwstr>
  </property>
</Properties>
</file>