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ascii="方正小标宋简体" w:hAnsi="方正小标宋简体" w:eastAsia="方正小标宋简体" w:cs="方正小标宋简体"/>
          <w:bCs/>
          <w:color w:val="333333"/>
          <w:sz w:val="44"/>
          <w:szCs w:val="44"/>
        </w:rPr>
      </w:pPr>
      <w:bookmarkStart w:id="0" w:name="OLE_LINK1"/>
      <w:r>
        <w:rPr>
          <w:rFonts w:hint="eastAsia" w:ascii="方正小标宋简体" w:hAnsi="方正小标宋简体" w:eastAsia="方正小标宋简体" w:cs="方正小标宋简体"/>
          <w:bCs/>
          <w:color w:val="333333"/>
          <w:sz w:val="44"/>
          <w:szCs w:val="44"/>
          <w:lang w:eastAsia="zh-CN"/>
        </w:rPr>
        <w:t>丰城市</w:t>
      </w:r>
      <w:r>
        <w:rPr>
          <w:rFonts w:hint="eastAsia" w:ascii="方正小标宋简体" w:hAnsi="方正小标宋简体" w:eastAsia="方正小标宋简体" w:cs="方正小标宋简体"/>
          <w:bCs/>
          <w:color w:val="333333"/>
          <w:sz w:val="44"/>
          <w:szCs w:val="44"/>
        </w:rPr>
        <w:t>2021年政府信息公开年度报告</w:t>
      </w:r>
    </w:p>
    <w:p>
      <w:pPr>
        <w:keepNext w:val="0"/>
        <w:keepLines w:val="0"/>
        <w:pageBreakBefore w:val="0"/>
        <w:widowControl/>
        <w:kinsoku/>
        <w:overflowPunct/>
        <w:topLinePunct w:val="0"/>
        <w:autoSpaceDE/>
        <w:autoSpaceDN/>
        <w:bidi w:val="0"/>
        <w:adjustRightInd w:val="0"/>
        <w:snapToGrid w:val="0"/>
        <w:spacing w:line="560" w:lineRule="exact"/>
        <w:ind w:left="0" w:leftChars="0" w:right="0" w:rightChars="0"/>
        <w:jc w:val="center"/>
        <w:textAlignment w:val="auto"/>
        <w:rPr>
          <w:rFonts w:ascii="仿宋_GB2312" w:hAnsi="仿宋_GB2312" w:eastAsia="仿宋_GB2312" w:cs="仿宋_GB2312"/>
          <w:kern w:val="0"/>
          <w:sz w:val="32"/>
          <w:szCs w:val="32"/>
        </w:rPr>
      </w:pPr>
    </w:p>
    <w:p>
      <w:pPr>
        <w:pStyle w:val="8"/>
        <w:keepNext w:val="0"/>
        <w:keepLines w:val="0"/>
        <w:pageBreakBefore w:val="0"/>
        <w:widowControl/>
        <w:kinsoku/>
        <w:wordWrap w:val="0"/>
        <w:overflowPunct/>
        <w:topLinePunct w:val="0"/>
        <w:autoSpaceDE/>
        <w:autoSpaceDN/>
        <w:bidi w:val="0"/>
        <w:adjustRightInd w:val="0"/>
        <w:snapToGrid w:val="0"/>
        <w:spacing w:before="0" w:beforeAutospacing="0" w:after="0" w:afterAutospacing="0" w:line="560" w:lineRule="exact"/>
        <w:ind w:left="0" w:leftChars="0" w:right="0" w:rightChars="0" w:firstLine="646" w:firstLineChars="0"/>
        <w:jc w:val="left"/>
        <w:textAlignment w:val="auto"/>
        <w:outlineLvl w:val="9"/>
        <w:rPr>
          <w:rFonts w:ascii="仿宋" w:hAnsi="仿宋" w:eastAsia="仿宋"/>
          <w:sz w:val="32"/>
          <w:szCs w:val="32"/>
        </w:rPr>
      </w:pPr>
      <w:r>
        <w:rPr>
          <w:rFonts w:hint="eastAsia" w:ascii="仿宋_GB2312" w:hAnsi="仿宋_GB2312" w:eastAsia="仿宋_GB2312" w:cs="仿宋_GB2312"/>
          <w:sz w:val="32"/>
          <w:szCs w:val="32"/>
        </w:rPr>
        <w:t>依据《中华人民共和国政府信息公开条例》</w:t>
      </w:r>
      <w:r>
        <w:rPr>
          <w:rFonts w:hint="eastAsia" w:ascii="仿宋_GB2312" w:hAnsi="仿宋_GB2312" w:eastAsia="仿宋_GB2312" w:cs="仿宋_GB2312"/>
          <w:sz w:val="32"/>
          <w:szCs w:val="32"/>
          <w:lang w:eastAsia="zh-CN"/>
        </w:rPr>
        <w:t>（国务院令</w:t>
      </w:r>
      <w:r>
        <w:rPr>
          <w:rFonts w:hint="eastAsia" w:ascii="仿宋_GB2312" w:hAnsi="仿宋_GB2312" w:eastAsia="仿宋_GB2312" w:cs="仿宋_GB2312"/>
          <w:sz w:val="32"/>
          <w:szCs w:val="32"/>
          <w:lang w:val="en-US" w:eastAsia="zh-CN"/>
        </w:rPr>
        <w:t>711号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及国办公开办函〔2021〕30号公布的《中华人民共和国政府信息公开工作年度报告格式》要求，</w:t>
      </w:r>
      <w:r>
        <w:rPr>
          <w:rFonts w:hint="eastAsia" w:ascii="仿宋_GB2312" w:hAnsi="仿宋_GB2312" w:eastAsia="仿宋_GB2312" w:cs="仿宋_GB2312"/>
          <w:sz w:val="32"/>
          <w:szCs w:val="32"/>
          <w:lang w:eastAsia="zh-CN"/>
        </w:rPr>
        <w:t>汇总丰城市</w:t>
      </w:r>
      <w:r>
        <w:rPr>
          <w:rFonts w:hint="eastAsia" w:ascii="仿宋_GB2312" w:hAnsi="仿宋_GB2312" w:eastAsia="仿宋_GB2312" w:cs="仿宋_GB2312"/>
          <w:sz w:val="32"/>
          <w:szCs w:val="32"/>
          <w:lang w:val="en-US" w:eastAsia="zh-CN"/>
        </w:rPr>
        <w:t>33个乡镇（街道）及31个部门（单位）数据</w:t>
      </w:r>
      <w:r>
        <w:rPr>
          <w:rFonts w:hint="eastAsia" w:ascii="仿宋_GB2312" w:hAnsi="仿宋_GB2312" w:eastAsia="仿宋_GB2312" w:cs="仿宋_GB2312"/>
          <w:sz w:val="32"/>
          <w:szCs w:val="32"/>
        </w:rPr>
        <w:t>编制本年度报告。本年报中所列数据的统计期限自2021年1月1日起至2021年12月31日止</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通过丰城市人民政府门户网站“政府信息公开年报”栏目（网址:http://www.jxfc.gov.cn/xxgk-list-zhengfuxinxigongkainianbao.html）向社会主动公开，如对本年报有疑问，请与丰城市人民政府办公室联系（地址：丰城市府前路288号</w:t>
      </w:r>
      <w:r>
        <w:rPr>
          <w:rFonts w:hint="eastAsia" w:ascii="仿宋_GB2312" w:hAnsi="仿宋_GB2312" w:eastAsia="仿宋_GB2312" w:cs="仿宋_GB2312"/>
          <w:sz w:val="32"/>
          <w:szCs w:val="32"/>
          <w:lang w:eastAsia="zh-CN"/>
        </w:rPr>
        <w:t>市行政中心四</w:t>
      </w:r>
      <w:r>
        <w:rPr>
          <w:rFonts w:hint="eastAsia" w:ascii="仿宋_GB2312" w:hAnsi="仿宋_GB2312" w:eastAsia="仿宋_GB2312" w:cs="仿宋_GB2312"/>
          <w:sz w:val="32"/>
          <w:szCs w:val="32"/>
        </w:rPr>
        <w:t>楼，电话：0795-6608573）</w:t>
      </w:r>
    </w:p>
    <w:p>
      <w:pPr>
        <w:keepNext w:val="0"/>
        <w:keepLines w:val="0"/>
        <w:pageBreakBefore w:val="0"/>
        <w:widowControl/>
        <w:numPr>
          <w:ilvl w:val="0"/>
          <w:numId w:val="1"/>
        </w:numPr>
        <w:kinsoku/>
        <w:overflowPunct/>
        <w:topLinePunct w:val="0"/>
        <w:autoSpaceDE/>
        <w:autoSpaceDN/>
        <w:bidi w:val="0"/>
        <w:adjustRightInd w:val="0"/>
        <w:snapToGrid w:val="0"/>
        <w:spacing w:line="560" w:lineRule="exact"/>
        <w:ind w:left="0" w:leftChars="0" w:right="0" w:rightChars="0" w:firstLine="800" w:firstLineChars="250"/>
        <w:textAlignment w:val="auto"/>
        <w:rPr>
          <w:rFonts w:ascii="黑体" w:hAnsi="黑体" w:eastAsia="黑体" w:cs="黑体"/>
          <w:bCs/>
          <w:kern w:val="0"/>
          <w:sz w:val="32"/>
          <w:szCs w:val="32"/>
        </w:rPr>
      </w:pPr>
      <w:r>
        <w:rPr>
          <w:rFonts w:hint="eastAsia" w:ascii="黑体" w:hAnsi="黑体" w:eastAsia="黑体" w:cs="黑体"/>
          <w:bCs/>
          <w:kern w:val="0"/>
          <w:sz w:val="32"/>
          <w:szCs w:val="32"/>
        </w:rPr>
        <w:t>总体情况</w:t>
      </w:r>
    </w:p>
    <w:p>
      <w:pPr>
        <w:pStyle w:val="8"/>
        <w:keepNext w:val="0"/>
        <w:keepLines w:val="0"/>
        <w:pageBreakBefore w:val="0"/>
        <w:widowControl/>
        <w:kinsoku/>
        <w:wordWrap w:val="0"/>
        <w:overflowPunct/>
        <w:topLinePunct w:val="0"/>
        <w:autoSpaceDE/>
        <w:autoSpaceDN/>
        <w:bidi w:val="0"/>
        <w:adjustRightInd w:val="0"/>
        <w:snapToGrid w:val="0"/>
        <w:spacing w:before="0" w:beforeAutospacing="0" w:after="0" w:afterAutospacing="0" w:line="560" w:lineRule="exact"/>
        <w:ind w:left="0" w:leftChars="0" w:right="0" w:rightChars="0" w:firstLine="646"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坚持以习近平新时代中国特色社会主义思想为指导，深入贯彻党的十九大和十九届历次全会精神，</w:t>
      </w:r>
      <w:r>
        <w:rPr>
          <w:rFonts w:hint="eastAsia" w:ascii="仿宋_GB2312" w:hAnsi="仿宋_GB2312" w:eastAsia="仿宋_GB2312" w:cs="仿宋_GB2312"/>
          <w:sz w:val="32"/>
          <w:szCs w:val="32"/>
          <w:lang w:eastAsia="zh-CN"/>
        </w:rPr>
        <w:t>以及省委、省政府，宜春市委、市政府全面推进政府信息公开工作的决策部署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不断加大公开力度，畅通公开渠道，深入推进政府信息公开工作</w:t>
      </w:r>
      <w:r>
        <w:rPr>
          <w:rFonts w:hint="eastAsia" w:ascii="仿宋_GB2312" w:hAnsi="仿宋_GB2312" w:eastAsia="仿宋_GB2312" w:cs="仿宋_GB2312"/>
          <w:sz w:val="32"/>
          <w:szCs w:val="32"/>
        </w:rPr>
        <w:t>。现将有关情况报告如下：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leftChars="0" w:right="0" w:rightChars="0" w:firstLine="480"/>
        <w:jc w:val="both"/>
        <w:textAlignment w:val="auto"/>
        <w:rPr>
          <w:rFonts w:hint="eastAsia" w:ascii="仿宋_GB2312" w:hAnsi="仿宋_GB2312" w:eastAsia="仿宋_GB2312" w:cs="仿宋_GB2312"/>
          <w:sz w:val="32"/>
          <w:szCs w:val="32"/>
          <w:lang w:val="en-US" w:eastAsia="zh-CN"/>
        </w:rPr>
      </w:pPr>
      <w:r>
        <w:rPr>
          <w:rFonts w:ascii="楷体" w:hAnsi="楷体" w:eastAsia="楷体" w:cs="楷体"/>
          <w:i w:val="0"/>
          <w:caps w:val="0"/>
          <w:color w:val="333333"/>
          <w:spacing w:val="0"/>
          <w:sz w:val="31"/>
          <w:szCs w:val="31"/>
          <w:shd w:val="clear" w:fill="FFFFFF"/>
        </w:rPr>
        <w:t>（一）主动公开政府信息情况。</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市</w:t>
      </w:r>
      <w:r>
        <w:rPr>
          <w:rFonts w:hint="default" w:ascii="仿宋_GB2312" w:hAnsi="仿宋_GB2312" w:eastAsia="仿宋_GB2312" w:cs="仿宋_GB2312"/>
          <w:sz w:val="32"/>
          <w:szCs w:val="32"/>
        </w:rPr>
        <w:t>严格</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政府信息公开条例</w:t>
      </w:r>
      <w:r>
        <w:rPr>
          <w:rFonts w:hint="eastAsia" w:ascii="仿宋_GB2312" w:hAnsi="仿宋_GB2312" w:eastAsia="仿宋_GB2312" w:cs="仿宋_GB2312"/>
          <w:sz w:val="32"/>
          <w:szCs w:val="32"/>
          <w:lang w:eastAsia="zh-CN"/>
        </w:rPr>
        <w:t>要求</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全面落实政府信息主动公开。</w:t>
      </w:r>
      <w:r>
        <w:rPr>
          <w:rFonts w:hint="eastAsia" w:ascii="仿宋_GB2312" w:hAnsi="仿宋_GB2312" w:eastAsia="仿宋_GB2312" w:cs="仿宋_GB2312"/>
          <w:sz w:val="32"/>
          <w:szCs w:val="32"/>
          <w:lang w:val="en-US" w:eastAsia="zh-CN"/>
        </w:rPr>
        <w:t>2021年，我市通过丰城市人民政府网共发布和更新信息21417条，其中概况类信息32条，政务动态类信息1523条，信息公开目录信息19862条。通过政务新媒体“中国丰城”微信公众号发布信息213条。开展调查征集15期，收到意见建议166条。发布新闻发布会文字信息4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leftChars="0" w:right="0" w:rightChars="0" w:firstLine="480"/>
        <w:jc w:val="both"/>
        <w:textAlignment w:val="auto"/>
        <w:rPr>
          <w:rFonts w:hint="eastAsia" w:ascii="微软雅黑" w:hAnsi="微软雅黑" w:eastAsia="微软雅黑" w:cs="微软雅黑"/>
          <w:i w:val="0"/>
          <w:caps w:val="0"/>
          <w:color w:val="333333"/>
          <w:spacing w:val="0"/>
          <w:sz w:val="25"/>
          <w:szCs w:val="25"/>
        </w:rPr>
      </w:pPr>
      <w:r>
        <w:rPr>
          <w:rFonts w:hint="eastAsia" w:ascii="楷体" w:hAnsi="楷体" w:eastAsia="楷体" w:cs="楷体"/>
          <w:i w:val="0"/>
          <w:caps w:val="0"/>
          <w:color w:val="333333"/>
          <w:spacing w:val="0"/>
          <w:sz w:val="31"/>
          <w:szCs w:val="31"/>
          <w:shd w:val="clear" w:fill="FFFFFF"/>
        </w:rPr>
        <w:t>（二）依申请公开情况。</w:t>
      </w:r>
      <w:r>
        <w:rPr>
          <w:rFonts w:hint="eastAsia" w:ascii="仿宋_GB2312" w:hAnsi="仿宋_GB2312" w:eastAsia="仿宋_GB2312" w:cs="仿宋_GB2312"/>
          <w:i w:val="0"/>
          <w:caps w:val="0"/>
          <w:color w:val="333333"/>
          <w:spacing w:val="0"/>
          <w:sz w:val="31"/>
          <w:szCs w:val="31"/>
          <w:shd w:val="clear" w:fill="FFFFFF"/>
        </w:rPr>
        <w:t>进一步规范政府信息公开申请办理工作，建立健全接收、登记、办理、调查、答复</w:t>
      </w:r>
      <w:r>
        <w:rPr>
          <w:rFonts w:hint="eastAsia" w:ascii="仿宋_GB2312" w:hAnsi="仿宋_GB2312" w:eastAsia="仿宋_GB2312" w:cs="仿宋_GB2312"/>
          <w:i w:val="0"/>
          <w:caps w:val="0"/>
          <w:color w:val="333333"/>
          <w:spacing w:val="0"/>
          <w:sz w:val="31"/>
          <w:szCs w:val="31"/>
          <w:shd w:val="clear" w:fill="FFFFFF"/>
          <w:lang w:eastAsia="zh-CN"/>
        </w:rPr>
        <w:t>、</w:t>
      </w:r>
      <w:r>
        <w:rPr>
          <w:rFonts w:hint="eastAsia" w:ascii="仿宋_GB2312" w:hAnsi="仿宋_GB2312" w:eastAsia="仿宋_GB2312" w:cs="仿宋_GB2312"/>
          <w:i w:val="0"/>
          <w:caps w:val="0"/>
          <w:color w:val="333333"/>
          <w:spacing w:val="0"/>
          <w:sz w:val="31"/>
          <w:szCs w:val="31"/>
          <w:shd w:val="clear" w:fill="FFFFFF"/>
        </w:rPr>
        <w:t>归档等工作制度。</w:t>
      </w:r>
      <w:r>
        <w:rPr>
          <w:rFonts w:hint="default" w:ascii="仿宋_GB2312" w:hAnsi="仿宋_GB2312" w:eastAsia="仿宋_GB2312" w:cs="仿宋_GB2312"/>
          <w:i w:val="0"/>
          <w:caps w:val="0"/>
          <w:color w:val="333333"/>
          <w:spacing w:val="0"/>
          <w:sz w:val="31"/>
          <w:szCs w:val="31"/>
          <w:shd w:val="clear" w:fill="FFFFFF"/>
        </w:rPr>
        <w:t>全年共受理依申请公开</w:t>
      </w:r>
      <w:r>
        <w:rPr>
          <w:rFonts w:hint="eastAsia" w:ascii="仿宋_GB2312" w:hAnsi="仿宋_GB2312" w:eastAsia="仿宋_GB2312" w:cs="仿宋_GB2312"/>
          <w:i w:val="0"/>
          <w:caps w:val="0"/>
          <w:color w:val="333333"/>
          <w:spacing w:val="0"/>
          <w:sz w:val="31"/>
          <w:szCs w:val="31"/>
          <w:shd w:val="clear" w:fill="FFFFFF"/>
          <w:lang w:val="en-US" w:eastAsia="zh-CN"/>
        </w:rPr>
        <w:t>82</w:t>
      </w:r>
      <w:r>
        <w:rPr>
          <w:rFonts w:hint="default" w:ascii="仿宋_GB2312" w:hAnsi="仿宋_GB2312" w:eastAsia="仿宋_GB2312" w:cs="仿宋_GB2312"/>
          <w:i w:val="0"/>
          <w:caps w:val="0"/>
          <w:color w:val="333333"/>
          <w:spacing w:val="0"/>
          <w:sz w:val="31"/>
          <w:szCs w:val="31"/>
          <w:shd w:val="clear" w:fill="FFFFFF"/>
        </w:rPr>
        <w:t>件，,其中市政府和市政府办公室共收到政府信息公开申请</w:t>
      </w:r>
      <w:r>
        <w:rPr>
          <w:rFonts w:hint="eastAsia" w:ascii="仿宋_GB2312" w:hAnsi="仿宋_GB2312" w:eastAsia="仿宋_GB2312" w:cs="仿宋_GB2312"/>
          <w:i w:val="0"/>
          <w:caps w:val="0"/>
          <w:color w:val="333333"/>
          <w:spacing w:val="0"/>
          <w:sz w:val="31"/>
          <w:szCs w:val="31"/>
          <w:shd w:val="clear" w:fill="FFFFFF"/>
          <w:lang w:val="en-US" w:eastAsia="zh-CN"/>
        </w:rPr>
        <w:t>53</w:t>
      </w:r>
      <w:r>
        <w:rPr>
          <w:rFonts w:hint="default" w:ascii="仿宋_GB2312" w:hAnsi="仿宋_GB2312" w:eastAsia="仿宋_GB2312" w:cs="仿宋_GB2312"/>
          <w:i w:val="0"/>
          <w:caps w:val="0"/>
          <w:color w:val="333333"/>
          <w:spacing w:val="0"/>
          <w:sz w:val="31"/>
          <w:szCs w:val="31"/>
          <w:shd w:val="clear" w:fill="FFFFFF"/>
        </w:rPr>
        <w:t>件,</w:t>
      </w:r>
      <w:r>
        <w:rPr>
          <w:rFonts w:hint="eastAsia" w:ascii="仿宋_GB2312" w:hAnsi="仿宋_GB2312" w:eastAsia="仿宋_GB2312" w:cs="仿宋_GB2312"/>
          <w:i w:val="0"/>
          <w:caps w:val="0"/>
          <w:color w:val="333333"/>
          <w:spacing w:val="0"/>
          <w:sz w:val="31"/>
          <w:szCs w:val="31"/>
          <w:shd w:val="clear" w:fill="FFFFFF"/>
          <w:lang w:eastAsia="zh-CN"/>
        </w:rPr>
        <w:t>各市直部门</w:t>
      </w:r>
      <w:r>
        <w:rPr>
          <w:rFonts w:hint="eastAsia" w:ascii="仿宋_GB2312" w:hAnsi="仿宋_GB2312" w:eastAsia="仿宋_GB2312" w:cs="仿宋_GB2312"/>
          <w:i w:val="0"/>
          <w:caps w:val="0"/>
          <w:color w:val="333333"/>
          <w:spacing w:val="0"/>
          <w:sz w:val="31"/>
          <w:szCs w:val="31"/>
          <w:shd w:val="clear" w:fill="FFFFFF"/>
          <w:lang w:val="en-US" w:eastAsia="zh-CN"/>
        </w:rPr>
        <w:t>(单位）</w:t>
      </w:r>
      <w:r>
        <w:rPr>
          <w:rFonts w:hint="eastAsia" w:ascii="仿宋_GB2312" w:hAnsi="仿宋_GB2312" w:eastAsia="仿宋_GB2312" w:cs="仿宋_GB2312"/>
          <w:i w:val="0"/>
          <w:caps w:val="0"/>
          <w:color w:val="333333"/>
          <w:spacing w:val="0"/>
          <w:sz w:val="31"/>
          <w:szCs w:val="31"/>
          <w:shd w:val="clear" w:fill="FFFFFF"/>
          <w:lang w:eastAsia="zh-CN"/>
        </w:rPr>
        <w:t>收到</w:t>
      </w:r>
      <w:r>
        <w:rPr>
          <w:rFonts w:hint="eastAsia" w:ascii="仿宋_GB2312" w:hAnsi="仿宋_GB2312" w:eastAsia="仿宋_GB2312" w:cs="仿宋_GB2312"/>
          <w:i w:val="0"/>
          <w:caps w:val="0"/>
          <w:color w:val="333333"/>
          <w:spacing w:val="0"/>
          <w:sz w:val="31"/>
          <w:szCs w:val="31"/>
          <w:shd w:val="clear" w:fill="FFFFFF"/>
          <w:lang w:val="en-US" w:eastAsia="zh-CN"/>
        </w:rPr>
        <w:t>25件，各乡镇（街道）收到4件，</w:t>
      </w:r>
      <w:r>
        <w:rPr>
          <w:rFonts w:hint="default" w:ascii="仿宋_GB2312" w:hAnsi="仿宋_GB2312" w:eastAsia="仿宋_GB2312" w:cs="仿宋_GB2312"/>
          <w:i w:val="0"/>
          <w:caps w:val="0"/>
          <w:color w:val="333333"/>
          <w:spacing w:val="0"/>
          <w:sz w:val="31"/>
          <w:szCs w:val="31"/>
          <w:shd w:val="clear" w:fill="FFFFFF"/>
        </w:rPr>
        <w:t>均在法定期限内予以答复。</w:t>
      </w:r>
      <w:r>
        <w:rPr>
          <w:rFonts w:hint="eastAsia" w:ascii="仿宋_GB2312" w:hAnsi="仿宋_GB2312" w:eastAsia="仿宋_GB2312" w:cs="仿宋_GB2312"/>
          <w:i w:val="0"/>
          <w:caps w:val="0"/>
          <w:color w:val="333333"/>
          <w:spacing w:val="0"/>
          <w:sz w:val="31"/>
          <w:szCs w:val="31"/>
          <w:shd w:val="clear" w:fill="FFFFFF"/>
          <w:lang w:eastAsia="zh-CN"/>
        </w:rPr>
        <w:t>全年处理</w:t>
      </w:r>
      <w:r>
        <w:rPr>
          <w:rFonts w:hint="default" w:ascii="仿宋_GB2312" w:hAnsi="仿宋_GB2312" w:eastAsia="仿宋_GB2312" w:cs="仿宋_GB2312"/>
          <w:i w:val="0"/>
          <w:caps w:val="0"/>
          <w:color w:val="333333"/>
          <w:spacing w:val="0"/>
          <w:sz w:val="31"/>
          <w:szCs w:val="31"/>
          <w:shd w:val="clear" w:fill="FFFFFF"/>
        </w:rPr>
        <w:t>信息公开行政复议案件</w:t>
      </w:r>
      <w:r>
        <w:rPr>
          <w:rFonts w:hint="eastAsia" w:ascii="仿宋_GB2312" w:hAnsi="仿宋_GB2312" w:eastAsia="仿宋_GB2312" w:cs="仿宋_GB2312"/>
          <w:i w:val="0"/>
          <w:caps w:val="0"/>
          <w:color w:val="333333"/>
          <w:spacing w:val="0"/>
          <w:sz w:val="31"/>
          <w:szCs w:val="31"/>
          <w:shd w:val="clear" w:fill="FFFFFF"/>
          <w:lang w:val="en-US" w:eastAsia="zh-CN"/>
        </w:rPr>
        <w:t>3</w:t>
      </w:r>
      <w:r>
        <w:rPr>
          <w:rFonts w:hint="default" w:ascii="仿宋_GB2312" w:hAnsi="仿宋_GB2312" w:eastAsia="仿宋_GB2312" w:cs="仿宋_GB2312"/>
          <w:i w:val="0"/>
          <w:caps w:val="0"/>
          <w:color w:val="333333"/>
          <w:spacing w:val="0"/>
          <w:sz w:val="31"/>
          <w:szCs w:val="31"/>
          <w:shd w:val="clear" w:fill="FFFFFF"/>
        </w:rPr>
        <w:t>件</w:t>
      </w:r>
      <w:r>
        <w:rPr>
          <w:rFonts w:hint="eastAsia" w:ascii="仿宋_GB2312" w:hAnsi="仿宋_GB2312" w:eastAsia="仿宋_GB2312" w:cs="仿宋_GB2312"/>
          <w:i w:val="0"/>
          <w:caps w:val="0"/>
          <w:color w:val="333333"/>
          <w:spacing w:val="0"/>
          <w:sz w:val="31"/>
          <w:szCs w:val="31"/>
          <w:shd w:val="clear" w:fill="FFFFFF"/>
          <w:lang w:eastAsia="zh-CN"/>
        </w:rPr>
        <w:t>，</w:t>
      </w:r>
      <w:r>
        <w:rPr>
          <w:rFonts w:hint="default" w:ascii="仿宋_GB2312" w:hAnsi="仿宋_GB2312" w:eastAsia="仿宋_GB2312" w:cs="仿宋_GB2312"/>
          <w:i w:val="0"/>
          <w:caps w:val="0"/>
          <w:color w:val="333333"/>
          <w:spacing w:val="0"/>
          <w:sz w:val="31"/>
          <w:szCs w:val="31"/>
          <w:shd w:val="clear" w:fill="FFFFFF"/>
        </w:rPr>
        <w:t>行政诉讼案件</w:t>
      </w:r>
      <w:r>
        <w:rPr>
          <w:rFonts w:hint="eastAsia" w:ascii="仿宋_GB2312" w:hAnsi="仿宋_GB2312" w:eastAsia="仿宋_GB2312" w:cs="仿宋_GB2312"/>
          <w:i w:val="0"/>
          <w:caps w:val="0"/>
          <w:color w:val="333333"/>
          <w:spacing w:val="0"/>
          <w:sz w:val="31"/>
          <w:szCs w:val="31"/>
          <w:shd w:val="clear" w:fill="FFFFFF"/>
          <w:lang w:val="en-US" w:eastAsia="zh-CN"/>
        </w:rPr>
        <w:t>2</w:t>
      </w:r>
      <w:r>
        <w:rPr>
          <w:rFonts w:hint="default" w:ascii="仿宋_GB2312" w:hAnsi="仿宋_GB2312" w:eastAsia="仿宋_GB2312" w:cs="仿宋_GB2312"/>
          <w:i w:val="0"/>
          <w:caps w:val="0"/>
          <w:color w:val="333333"/>
          <w:spacing w:val="0"/>
          <w:sz w:val="31"/>
          <w:szCs w:val="31"/>
          <w:shd w:val="clear" w:fill="FFFFFF"/>
        </w:rPr>
        <w:t>件。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leftChars="0" w:right="0" w:rightChars="0" w:firstLine="480"/>
        <w:jc w:val="both"/>
        <w:textAlignment w:val="auto"/>
        <w:rPr>
          <w:rFonts w:hint="eastAsia" w:ascii="微软雅黑" w:hAnsi="微软雅黑" w:eastAsia="微软雅黑" w:cs="微软雅黑"/>
          <w:i w:val="0"/>
          <w:caps w:val="0"/>
          <w:color w:val="333333"/>
          <w:spacing w:val="0"/>
          <w:sz w:val="25"/>
          <w:szCs w:val="25"/>
        </w:rPr>
      </w:pPr>
      <w:r>
        <w:rPr>
          <w:rFonts w:hint="eastAsia" w:ascii="楷体" w:hAnsi="楷体" w:eastAsia="楷体" w:cs="楷体"/>
          <w:i w:val="0"/>
          <w:caps w:val="0"/>
          <w:color w:val="333333"/>
          <w:spacing w:val="0"/>
          <w:sz w:val="31"/>
          <w:szCs w:val="31"/>
          <w:shd w:val="clear" w:fill="FFFFFF"/>
        </w:rPr>
        <w:t>（三）解读回应情况。</w:t>
      </w:r>
      <w:r>
        <w:rPr>
          <w:rFonts w:hint="eastAsia" w:ascii="仿宋_GB2312" w:hAnsi="仿宋_GB2312" w:eastAsia="仿宋_GB2312" w:cs="仿宋_GB2312"/>
          <w:i w:val="0"/>
          <w:caps w:val="0"/>
          <w:color w:val="333333"/>
          <w:spacing w:val="0"/>
          <w:sz w:val="31"/>
          <w:szCs w:val="31"/>
          <w:shd w:val="clear" w:fill="FFFFFF"/>
          <w:lang w:eastAsia="zh-CN"/>
        </w:rPr>
        <w:t>我市今年继续加大对政策文件解读力度，</w:t>
      </w:r>
      <w:r>
        <w:rPr>
          <w:rFonts w:hint="default" w:ascii="仿宋_GB2312" w:hAnsi="仿宋_GB2312" w:eastAsia="仿宋_GB2312" w:cs="仿宋_GB2312"/>
          <w:i w:val="0"/>
          <w:caps w:val="0"/>
          <w:color w:val="333333"/>
          <w:spacing w:val="0"/>
          <w:sz w:val="31"/>
          <w:szCs w:val="31"/>
          <w:shd w:val="clear" w:fill="FFFFFF"/>
        </w:rPr>
        <w:t>在政府信息公开平台设置政策解读</w:t>
      </w:r>
      <w:r>
        <w:rPr>
          <w:rFonts w:hint="eastAsia" w:ascii="仿宋_GB2312" w:hAnsi="仿宋_GB2312" w:eastAsia="仿宋_GB2312" w:cs="仿宋_GB2312"/>
          <w:i w:val="0"/>
          <w:caps w:val="0"/>
          <w:color w:val="333333"/>
          <w:spacing w:val="0"/>
          <w:sz w:val="31"/>
          <w:szCs w:val="31"/>
          <w:shd w:val="clear" w:fill="FFFFFF"/>
          <w:lang w:eastAsia="zh-CN"/>
        </w:rPr>
        <w:t>专</w:t>
      </w:r>
      <w:r>
        <w:rPr>
          <w:rFonts w:hint="default" w:ascii="仿宋_GB2312" w:hAnsi="仿宋_GB2312" w:eastAsia="仿宋_GB2312" w:cs="仿宋_GB2312"/>
          <w:i w:val="0"/>
          <w:caps w:val="0"/>
          <w:color w:val="333333"/>
          <w:spacing w:val="0"/>
          <w:sz w:val="31"/>
          <w:szCs w:val="31"/>
          <w:shd w:val="clear" w:fill="FFFFFF"/>
        </w:rPr>
        <w:t>栏，</w:t>
      </w:r>
      <w:r>
        <w:rPr>
          <w:rFonts w:hint="eastAsia" w:ascii="仿宋_GB2312" w:hAnsi="仿宋_GB2312" w:eastAsia="仿宋_GB2312" w:cs="仿宋_GB2312"/>
          <w:i w:val="0"/>
          <w:caps w:val="0"/>
          <w:color w:val="333333"/>
          <w:spacing w:val="0"/>
          <w:sz w:val="31"/>
          <w:szCs w:val="31"/>
          <w:shd w:val="clear" w:fill="FFFFFF"/>
          <w:lang w:eastAsia="zh-CN"/>
        </w:rPr>
        <w:t>通过图解、视频解读和负责人解读等各种群众喜闻乐见的形式</w:t>
      </w:r>
      <w:r>
        <w:rPr>
          <w:rFonts w:hint="default" w:ascii="仿宋_GB2312" w:hAnsi="仿宋_GB2312" w:eastAsia="仿宋_GB2312" w:cs="仿宋_GB2312"/>
          <w:i w:val="0"/>
          <w:caps w:val="0"/>
          <w:color w:val="333333"/>
          <w:spacing w:val="0"/>
          <w:sz w:val="31"/>
          <w:szCs w:val="31"/>
          <w:shd w:val="clear" w:fill="FFFFFF"/>
        </w:rPr>
        <w:t>，解读</w:t>
      </w:r>
      <w:r>
        <w:rPr>
          <w:rFonts w:hint="eastAsia" w:ascii="仿宋_GB2312" w:hAnsi="仿宋_GB2312" w:eastAsia="仿宋_GB2312" w:cs="仿宋_GB2312"/>
          <w:i w:val="0"/>
          <w:caps w:val="0"/>
          <w:color w:val="333333"/>
          <w:spacing w:val="0"/>
          <w:sz w:val="31"/>
          <w:szCs w:val="31"/>
          <w:shd w:val="clear" w:fill="FFFFFF"/>
          <w:lang w:eastAsia="zh-CN"/>
        </w:rPr>
        <w:t>相关政策</w:t>
      </w:r>
      <w:r>
        <w:rPr>
          <w:rFonts w:hint="default" w:ascii="仿宋_GB2312" w:hAnsi="仿宋_GB2312" w:eastAsia="仿宋_GB2312" w:cs="仿宋_GB2312"/>
          <w:i w:val="0"/>
          <w:caps w:val="0"/>
          <w:color w:val="333333"/>
          <w:spacing w:val="0"/>
          <w:sz w:val="31"/>
          <w:szCs w:val="31"/>
          <w:shd w:val="clear" w:fill="FFFFFF"/>
        </w:rPr>
        <w:t>59篇</w:t>
      </w:r>
      <w:r>
        <w:rPr>
          <w:rFonts w:hint="eastAsia" w:ascii="仿宋_GB2312" w:hAnsi="仿宋_GB2312" w:eastAsia="仿宋_GB2312" w:cs="仿宋_GB2312"/>
          <w:i w:val="0"/>
          <w:caps w:val="0"/>
          <w:color w:val="333333"/>
          <w:spacing w:val="0"/>
          <w:sz w:val="31"/>
          <w:szCs w:val="31"/>
          <w:shd w:val="clear" w:fill="FFFFFF"/>
          <w:lang w:eastAsia="zh-CN"/>
        </w:rPr>
        <w:t>，并开展了一场解读培训</w:t>
      </w:r>
      <w:r>
        <w:rPr>
          <w:rFonts w:hint="default" w:ascii="仿宋_GB2312" w:hAnsi="仿宋_GB2312" w:eastAsia="仿宋_GB2312" w:cs="仿宋_GB2312"/>
          <w:i w:val="0"/>
          <w:caps w:val="0"/>
          <w:color w:val="333333"/>
          <w:spacing w:val="0"/>
          <w:sz w:val="31"/>
          <w:szCs w:val="31"/>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leftChars="0" w:right="0" w:rightChars="0" w:firstLine="645"/>
        <w:jc w:val="both"/>
        <w:textAlignment w:val="auto"/>
        <w:rPr>
          <w:rFonts w:hint="eastAsia" w:ascii="微软雅黑" w:hAnsi="微软雅黑" w:eastAsia="微软雅黑" w:cs="微软雅黑"/>
          <w:i w:val="0"/>
          <w:caps w:val="0"/>
          <w:color w:val="333333"/>
          <w:spacing w:val="0"/>
          <w:sz w:val="25"/>
          <w:szCs w:val="25"/>
        </w:rPr>
      </w:pPr>
      <w:r>
        <w:rPr>
          <w:rFonts w:hint="eastAsia" w:ascii="楷体" w:hAnsi="楷体" w:eastAsia="楷体" w:cs="楷体"/>
          <w:i w:val="0"/>
          <w:caps w:val="0"/>
          <w:color w:val="333333"/>
          <w:spacing w:val="0"/>
          <w:sz w:val="31"/>
          <w:szCs w:val="31"/>
          <w:shd w:val="clear" w:fill="FFFFFF"/>
        </w:rPr>
        <w:t>（四）平台建设情况。</w:t>
      </w:r>
      <w:r>
        <w:rPr>
          <w:rFonts w:hint="default" w:ascii="仿宋_GB2312" w:hAnsi="仿宋_GB2312" w:eastAsia="仿宋_GB2312" w:cs="仿宋_GB2312"/>
          <w:i w:val="0"/>
          <w:caps w:val="0"/>
          <w:color w:val="333333"/>
          <w:spacing w:val="0"/>
          <w:sz w:val="31"/>
          <w:szCs w:val="31"/>
          <w:shd w:val="clear" w:fill="FFFFFF"/>
        </w:rPr>
        <w:t>一是</w:t>
      </w:r>
      <w:r>
        <w:rPr>
          <w:rFonts w:hint="eastAsia" w:ascii="仿宋_GB2312" w:hAnsi="仿宋_GB2312" w:eastAsia="仿宋_GB2312" w:cs="仿宋_GB2312"/>
          <w:i w:val="0"/>
          <w:caps w:val="0"/>
          <w:color w:val="333333"/>
          <w:spacing w:val="0"/>
          <w:sz w:val="31"/>
          <w:szCs w:val="31"/>
          <w:shd w:val="clear" w:fill="FFFFFF"/>
          <w:lang w:eastAsia="zh-CN"/>
        </w:rPr>
        <w:t>加快</w:t>
      </w:r>
      <w:r>
        <w:rPr>
          <w:rFonts w:hint="default" w:ascii="仿宋_GB2312" w:hAnsi="仿宋_GB2312" w:eastAsia="仿宋_GB2312" w:cs="仿宋_GB2312"/>
          <w:i w:val="0"/>
          <w:caps w:val="0"/>
          <w:color w:val="333333"/>
          <w:spacing w:val="0"/>
          <w:sz w:val="31"/>
          <w:szCs w:val="31"/>
          <w:shd w:val="clear" w:fill="FFFFFF"/>
        </w:rPr>
        <w:t>政府门户网站</w:t>
      </w:r>
      <w:r>
        <w:rPr>
          <w:rFonts w:hint="eastAsia" w:ascii="仿宋_GB2312" w:hAnsi="仿宋_GB2312" w:eastAsia="仿宋_GB2312" w:cs="仿宋_GB2312"/>
          <w:i w:val="0"/>
          <w:caps w:val="0"/>
          <w:color w:val="333333"/>
          <w:spacing w:val="0"/>
          <w:sz w:val="31"/>
          <w:szCs w:val="31"/>
          <w:shd w:val="clear" w:fill="FFFFFF"/>
          <w:lang w:eastAsia="zh-CN"/>
        </w:rPr>
        <w:t>改造。已按照上级要求完成集约化和</w:t>
      </w:r>
      <w:r>
        <w:rPr>
          <w:rFonts w:hint="eastAsia" w:ascii="仿宋_GB2312" w:hAnsi="仿宋_GB2312" w:eastAsia="仿宋_GB2312" w:cs="仿宋_GB2312"/>
          <w:i w:val="0"/>
          <w:caps w:val="0"/>
          <w:color w:val="333333"/>
          <w:spacing w:val="0"/>
          <w:sz w:val="31"/>
          <w:szCs w:val="31"/>
          <w:shd w:val="clear" w:fill="FFFFFF"/>
          <w:lang w:val="en-US" w:eastAsia="zh-CN"/>
        </w:rPr>
        <w:t>IPV6改造。二是优化</w:t>
      </w:r>
      <w:r>
        <w:rPr>
          <w:rFonts w:hint="default" w:ascii="仿宋_GB2312" w:hAnsi="仿宋_GB2312" w:eastAsia="仿宋_GB2312" w:cs="仿宋_GB2312"/>
          <w:i w:val="0"/>
          <w:caps w:val="0"/>
          <w:color w:val="333333"/>
          <w:spacing w:val="0"/>
          <w:sz w:val="31"/>
          <w:szCs w:val="31"/>
          <w:shd w:val="clear" w:fill="FFFFFF"/>
        </w:rPr>
        <w:t>政府信息公开页面</w:t>
      </w:r>
      <w:r>
        <w:rPr>
          <w:rFonts w:hint="eastAsia" w:ascii="仿宋_GB2312" w:hAnsi="仿宋_GB2312" w:eastAsia="仿宋_GB2312" w:cs="仿宋_GB2312"/>
          <w:i w:val="0"/>
          <w:caps w:val="0"/>
          <w:color w:val="333333"/>
          <w:spacing w:val="0"/>
          <w:sz w:val="31"/>
          <w:szCs w:val="31"/>
          <w:shd w:val="clear" w:fill="FFFFFF"/>
          <w:lang w:eastAsia="zh-CN"/>
        </w:rPr>
        <w:t>和栏目。聚焦“财政信息”“重大项目建设”“三大攻坚战”“社会公益事业”等领域，按照“五公开”要求不断完善相关栏目和信息</w:t>
      </w:r>
      <w:r>
        <w:rPr>
          <w:rFonts w:hint="default" w:ascii="仿宋_GB2312" w:hAnsi="仿宋_GB2312" w:eastAsia="仿宋_GB2312" w:cs="仿宋_GB2312"/>
          <w:i w:val="0"/>
          <w:caps w:val="0"/>
          <w:color w:val="333333"/>
          <w:spacing w:val="0"/>
          <w:sz w:val="31"/>
          <w:szCs w:val="31"/>
          <w:shd w:val="clear" w:fill="FFFFFF"/>
        </w:rPr>
        <w:t>。</w:t>
      </w:r>
      <w:r>
        <w:rPr>
          <w:rFonts w:hint="eastAsia" w:ascii="仿宋_GB2312" w:hAnsi="仿宋_GB2312" w:eastAsia="仿宋_GB2312" w:cs="仿宋_GB2312"/>
          <w:i w:val="0"/>
          <w:caps w:val="0"/>
          <w:color w:val="333333"/>
          <w:spacing w:val="0"/>
          <w:sz w:val="31"/>
          <w:szCs w:val="31"/>
          <w:shd w:val="clear" w:fill="FFFFFF"/>
          <w:lang w:eastAsia="zh-CN"/>
        </w:rPr>
        <w:t>三</w:t>
      </w:r>
      <w:r>
        <w:rPr>
          <w:rFonts w:hint="default" w:ascii="仿宋_GB2312" w:hAnsi="仿宋_GB2312" w:eastAsia="仿宋_GB2312" w:cs="仿宋_GB2312"/>
          <w:i w:val="0"/>
          <w:caps w:val="0"/>
          <w:color w:val="333333"/>
          <w:spacing w:val="0"/>
          <w:sz w:val="31"/>
          <w:szCs w:val="31"/>
          <w:shd w:val="clear" w:fill="FFFFFF"/>
        </w:rPr>
        <w:t>是</w:t>
      </w:r>
      <w:r>
        <w:rPr>
          <w:rFonts w:hint="eastAsia" w:ascii="仿宋_GB2312" w:hAnsi="仿宋_GB2312" w:eastAsia="仿宋_GB2312" w:cs="仿宋_GB2312"/>
          <w:i w:val="0"/>
          <w:caps w:val="0"/>
          <w:color w:val="333333"/>
          <w:spacing w:val="0"/>
          <w:sz w:val="31"/>
          <w:szCs w:val="31"/>
          <w:shd w:val="clear" w:fill="FFFFFF"/>
          <w:lang w:eastAsia="zh-CN"/>
        </w:rPr>
        <w:t>加强数据开放</w:t>
      </w:r>
      <w:r>
        <w:rPr>
          <w:rFonts w:hint="default" w:ascii="仿宋_GB2312" w:hAnsi="仿宋_GB2312" w:eastAsia="仿宋_GB2312" w:cs="仿宋_GB2312"/>
          <w:i w:val="0"/>
          <w:caps w:val="0"/>
          <w:color w:val="333333"/>
          <w:spacing w:val="0"/>
          <w:sz w:val="31"/>
          <w:szCs w:val="31"/>
          <w:shd w:val="clear" w:fill="FFFFFF"/>
        </w:rPr>
        <w:t>。</w:t>
      </w:r>
      <w:r>
        <w:rPr>
          <w:rFonts w:hint="eastAsia" w:ascii="仿宋_GB2312" w:hAnsi="仿宋_GB2312" w:eastAsia="仿宋_GB2312" w:cs="仿宋_GB2312"/>
          <w:i w:val="0"/>
          <w:caps w:val="0"/>
          <w:color w:val="333333"/>
          <w:spacing w:val="0"/>
          <w:sz w:val="31"/>
          <w:szCs w:val="31"/>
          <w:shd w:val="clear" w:fill="FFFFFF"/>
          <w:lang w:eastAsia="zh-CN"/>
        </w:rPr>
        <w:t>对群众关注度较高的财政数据、经济数据、环境数据和气象数据等加大公开力度，每月及时将数据发布在相应专栏</w:t>
      </w:r>
      <w:r>
        <w:rPr>
          <w:rFonts w:hint="default" w:ascii="仿宋_GB2312" w:hAnsi="仿宋_GB2312" w:eastAsia="仿宋_GB2312" w:cs="仿宋_GB2312"/>
          <w:i w:val="0"/>
          <w:caps w:val="0"/>
          <w:color w:val="333333"/>
          <w:spacing w:val="0"/>
          <w:sz w:val="31"/>
          <w:szCs w:val="31"/>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6" w:firstLineChars="0"/>
        <w:jc w:val="both"/>
        <w:textAlignment w:val="auto"/>
        <w:outlineLvl w:val="9"/>
        <w:rPr>
          <w:rFonts w:hint="eastAsia" w:ascii="微软雅黑" w:hAnsi="微软雅黑" w:eastAsia="微软雅黑" w:cs="微软雅黑"/>
          <w:i w:val="0"/>
          <w:caps w:val="0"/>
          <w:color w:val="333333"/>
          <w:spacing w:val="0"/>
          <w:sz w:val="25"/>
          <w:szCs w:val="25"/>
        </w:rPr>
      </w:pPr>
      <w:r>
        <w:rPr>
          <w:rFonts w:hint="eastAsia" w:ascii="楷体" w:hAnsi="楷体" w:eastAsia="楷体" w:cs="楷体"/>
          <w:i w:val="0"/>
          <w:caps w:val="0"/>
          <w:color w:val="333333"/>
          <w:spacing w:val="0"/>
          <w:sz w:val="31"/>
          <w:szCs w:val="31"/>
          <w:shd w:val="clear" w:fill="FFFFFF"/>
        </w:rPr>
        <w:t>（五）监督保障情况。</w:t>
      </w:r>
      <w:r>
        <w:rPr>
          <w:rFonts w:hint="default" w:ascii="仿宋_GB2312" w:hAnsi="仿宋_GB2312" w:eastAsia="仿宋_GB2312" w:cs="仿宋_GB2312"/>
          <w:i w:val="0"/>
          <w:caps w:val="0"/>
          <w:color w:val="333333"/>
          <w:spacing w:val="0"/>
          <w:sz w:val="31"/>
          <w:szCs w:val="31"/>
          <w:shd w:val="clear" w:fill="FFFFFF"/>
        </w:rPr>
        <w:t>建立政府信息公开工作情况月通报制度，</w:t>
      </w:r>
      <w:r>
        <w:rPr>
          <w:rFonts w:hint="eastAsia" w:ascii="仿宋_GB2312" w:hAnsi="仿宋_GB2312" w:eastAsia="仿宋_GB2312" w:cs="仿宋_GB2312"/>
          <w:i w:val="0"/>
          <w:caps w:val="0"/>
          <w:color w:val="333333"/>
          <w:spacing w:val="0"/>
          <w:sz w:val="31"/>
          <w:szCs w:val="31"/>
          <w:shd w:val="clear" w:fill="FFFFFF"/>
          <w:lang w:eastAsia="zh-CN"/>
        </w:rPr>
        <w:t>全年发布通</w:t>
      </w:r>
      <w:r>
        <w:rPr>
          <w:rFonts w:hint="default" w:ascii="仿宋_GB2312" w:hAnsi="仿宋_GB2312" w:eastAsia="仿宋_GB2312" w:cs="仿宋_GB2312"/>
          <w:i w:val="0"/>
          <w:caps w:val="0"/>
          <w:color w:val="333333"/>
          <w:spacing w:val="0"/>
          <w:sz w:val="31"/>
          <w:szCs w:val="31"/>
          <w:shd w:val="clear" w:fill="FFFFFF"/>
        </w:rPr>
        <w:t>12期</w:t>
      </w:r>
      <w:r>
        <w:rPr>
          <w:rFonts w:hint="eastAsia" w:ascii="仿宋_GB2312" w:hAnsi="仿宋_GB2312" w:eastAsia="仿宋_GB2312" w:cs="仿宋_GB2312"/>
          <w:i w:val="0"/>
          <w:caps w:val="0"/>
          <w:color w:val="333333"/>
          <w:spacing w:val="0"/>
          <w:sz w:val="31"/>
          <w:szCs w:val="31"/>
          <w:shd w:val="clear" w:fill="FFFFFF"/>
          <w:lang w:val="en-US" w:eastAsia="zh-CN"/>
        </w:rPr>
        <w:t>。建立读网和找错制度，每周要求各相关单位和乡镇街道对政府网站进行读网找错，及时发现问题和告知整改。</w:t>
      </w:r>
      <w:r>
        <w:rPr>
          <w:rFonts w:hint="default" w:ascii="仿宋_GB2312" w:hAnsi="仿宋_GB2312" w:eastAsia="仿宋_GB2312" w:cs="仿宋_GB2312"/>
          <w:i w:val="0"/>
          <w:caps w:val="0"/>
          <w:color w:val="333333"/>
          <w:spacing w:val="0"/>
          <w:sz w:val="31"/>
          <w:szCs w:val="31"/>
          <w:shd w:val="clear" w:fill="FFFFFF"/>
        </w:rPr>
        <w:t>本年共开展了2次政务公开业务集中培训，培训人员约310人次。</w:t>
      </w:r>
    </w:p>
    <w:p>
      <w:pPr>
        <w:pStyle w:val="8"/>
        <w:spacing w:before="0" w:beforeAutospacing="0" w:after="0" w:afterAutospacing="0" w:line="520" w:lineRule="exact"/>
        <w:ind w:firstLine="640" w:firstLineChars="200"/>
        <w:jc w:val="both"/>
        <w:rPr>
          <w:rFonts w:hint="eastAsia" w:ascii="黑体" w:hAnsi="黑体" w:eastAsia="黑体"/>
          <w:bCs/>
          <w:sz w:val="32"/>
          <w:szCs w:val="32"/>
        </w:rPr>
      </w:pPr>
      <w:r>
        <w:rPr>
          <w:rFonts w:hint="eastAsia" w:ascii="黑体" w:hAnsi="黑体" w:eastAsia="黑体"/>
          <w:bCs/>
          <w:sz w:val="32"/>
          <w:szCs w:val="32"/>
        </w:rPr>
        <w:t>二、主动公开政府信息情况</w:t>
      </w:r>
    </w:p>
    <w:tbl>
      <w:tblPr>
        <w:tblStyle w:val="20"/>
        <w:tblW w:w="9057" w:type="dxa"/>
        <w:jc w:val="center"/>
        <w:tblInd w:w="0" w:type="dxa"/>
        <w:tblLayout w:type="fixed"/>
        <w:tblCellMar>
          <w:top w:w="15" w:type="dxa"/>
          <w:left w:w="15" w:type="dxa"/>
          <w:bottom w:w="15" w:type="dxa"/>
          <w:right w:w="15" w:type="dxa"/>
        </w:tblCellMar>
      </w:tblPr>
      <w:tblGrid>
        <w:gridCol w:w="2253"/>
        <w:gridCol w:w="2281"/>
        <w:gridCol w:w="1969"/>
        <w:gridCol w:w="2554"/>
      </w:tblGrid>
      <w:tr>
        <w:tblPrEx>
          <w:tblLayout w:type="fixed"/>
          <w:tblCellMar>
            <w:top w:w="15" w:type="dxa"/>
            <w:left w:w="15" w:type="dxa"/>
            <w:bottom w:w="15" w:type="dxa"/>
            <w:right w:w="15" w:type="dxa"/>
          </w:tblCellMar>
        </w:tblPrEx>
        <w:trPr>
          <w:trHeight w:val="320" w:hRule="atLeast"/>
          <w:jc w:val="center"/>
        </w:trPr>
        <w:tc>
          <w:tcPr>
            <w:tcW w:w="905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第二十条第（一）项</w:t>
            </w:r>
          </w:p>
        </w:tc>
      </w:tr>
      <w:tr>
        <w:tblPrEx>
          <w:tblLayout w:type="fixed"/>
          <w:tblCellMar>
            <w:top w:w="15" w:type="dxa"/>
            <w:left w:w="15" w:type="dxa"/>
            <w:bottom w:w="15" w:type="dxa"/>
            <w:right w:w="15" w:type="dxa"/>
          </w:tblCellMar>
        </w:tblPrEx>
        <w:trPr>
          <w:trHeight w:val="564" w:hRule="atLeast"/>
          <w:jc w:val="center"/>
        </w:trPr>
        <w:tc>
          <w:tcPr>
            <w:tcW w:w="225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信息内容</w:t>
            </w:r>
          </w:p>
        </w:tc>
        <w:tc>
          <w:tcPr>
            <w:tcW w:w="228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本年制发件数</w:t>
            </w:r>
          </w:p>
        </w:tc>
        <w:tc>
          <w:tcPr>
            <w:tcW w:w="196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本年废止件数</w:t>
            </w:r>
          </w:p>
        </w:tc>
        <w:tc>
          <w:tcPr>
            <w:tcW w:w="255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现行有效件数</w:t>
            </w:r>
          </w:p>
        </w:tc>
      </w:tr>
      <w:tr>
        <w:tblPrEx>
          <w:tblLayout w:type="fixed"/>
          <w:tblCellMar>
            <w:top w:w="15" w:type="dxa"/>
            <w:left w:w="15" w:type="dxa"/>
            <w:bottom w:w="15" w:type="dxa"/>
            <w:right w:w="15" w:type="dxa"/>
          </w:tblCellMar>
        </w:tblPrEx>
        <w:trPr>
          <w:trHeight w:val="283" w:hRule="atLeast"/>
          <w:jc w:val="center"/>
        </w:trPr>
        <w:tc>
          <w:tcPr>
            <w:tcW w:w="225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rPr>
                <w:rFonts w:ascii="宋体" w:hAnsi="宋体" w:eastAsia="宋体" w:cs="宋体"/>
                <w:sz w:val="24"/>
                <w:szCs w:val="24"/>
              </w:rPr>
            </w:pPr>
            <w:r>
              <w:rPr>
                <w:rFonts w:hint="eastAsia" w:ascii="宋体" w:hAnsi="宋体" w:eastAsia="宋体" w:cs="宋体"/>
                <w:sz w:val="20"/>
                <w:szCs w:val="20"/>
              </w:rPr>
              <w:t>规章</w:t>
            </w:r>
          </w:p>
        </w:tc>
        <w:tc>
          <w:tcPr>
            <w:tcW w:w="22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jc w:val="center"/>
              <w:rPr>
                <w:rFonts w:ascii="宋体" w:hAnsi="宋体" w:eastAsia="宋体" w:cs="宋体"/>
                <w:sz w:val="24"/>
                <w:szCs w:val="24"/>
              </w:rPr>
            </w:pPr>
            <w:r>
              <w:rPr>
                <w:rFonts w:hint="eastAsia" w:ascii="宋体" w:hAnsi="宋体" w:eastAsia="宋体" w:cs="宋体"/>
                <w:sz w:val="24"/>
                <w:szCs w:val="24"/>
              </w:rPr>
              <w:t>0</w:t>
            </w:r>
          </w:p>
        </w:tc>
        <w:tc>
          <w:tcPr>
            <w:tcW w:w="196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jc w:val="center"/>
              <w:rPr>
                <w:rFonts w:ascii="宋体" w:hAnsi="宋体" w:eastAsia="宋体" w:cs="宋体"/>
                <w:sz w:val="24"/>
                <w:szCs w:val="24"/>
              </w:rPr>
            </w:pPr>
            <w:r>
              <w:rPr>
                <w:rFonts w:hint="eastAsia" w:ascii="宋体" w:hAnsi="宋体" w:eastAsia="宋体" w:cs="宋体"/>
                <w:sz w:val="24"/>
                <w:szCs w:val="24"/>
              </w:rPr>
              <w:t>0</w:t>
            </w:r>
          </w:p>
        </w:tc>
        <w:tc>
          <w:tcPr>
            <w:tcW w:w="255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jc w:val="center"/>
              <w:rPr>
                <w:rFonts w:ascii="宋体" w:hAnsi="宋体" w:eastAsia="宋体" w:cs="宋体"/>
                <w:sz w:val="24"/>
                <w:szCs w:val="24"/>
              </w:rPr>
            </w:pPr>
            <w:r>
              <w:rPr>
                <w:rFonts w:hint="eastAsia" w:ascii="宋体" w:hAnsi="宋体" w:eastAsia="宋体" w:cs="宋体"/>
                <w:sz w:val="24"/>
                <w:szCs w:val="24"/>
              </w:rPr>
              <w:t>0</w:t>
            </w:r>
          </w:p>
        </w:tc>
      </w:tr>
      <w:tr>
        <w:tblPrEx>
          <w:tblLayout w:type="fixed"/>
          <w:tblCellMar>
            <w:top w:w="15" w:type="dxa"/>
            <w:left w:w="15" w:type="dxa"/>
            <w:bottom w:w="15" w:type="dxa"/>
            <w:right w:w="15" w:type="dxa"/>
          </w:tblCellMar>
        </w:tblPrEx>
        <w:trPr>
          <w:trHeight w:val="291" w:hRule="atLeast"/>
          <w:jc w:val="center"/>
        </w:trPr>
        <w:tc>
          <w:tcPr>
            <w:tcW w:w="225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rPr>
                <w:rFonts w:ascii="宋体" w:hAnsi="宋体" w:eastAsia="宋体" w:cs="宋体"/>
                <w:sz w:val="24"/>
                <w:szCs w:val="24"/>
              </w:rPr>
            </w:pPr>
            <w:r>
              <w:rPr>
                <w:rFonts w:hint="eastAsia" w:ascii="宋体" w:hAnsi="宋体" w:eastAsia="宋体" w:cs="宋体"/>
                <w:sz w:val="20"/>
                <w:szCs w:val="20"/>
              </w:rPr>
              <w:t>行政规范性文件</w:t>
            </w:r>
          </w:p>
        </w:tc>
        <w:tc>
          <w:tcPr>
            <w:tcW w:w="22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408</w:t>
            </w:r>
          </w:p>
        </w:tc>
        <w:tc>
          <w:tcPr>
            <w:tcW w:w="196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138</w:t>
            </w:r>
          </w:p>
        </w:tc>
        <w:tc>
          <w:tcPr>
            <w:tcW w:w="255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701</w:t>
            </w:r>
          </w:p>
        </w:tc>
      </w:tr>
      <w:tr>
        <w:tblPrEx>
          <w:tblLayout w:type="fixed"/>
          <w:tblCellMar>
            <w:top w:w="15" w:type="dxa"/>
            <w:left w:w="15" w:type="dxa"/>
            <w:bottom w:w="15" w:type="dxa"/>
            <w:right w:w="15" w:type="dxa"/>
          </w:tblCellMar>
        </w:tblPrEx>
        <w:trPr>
          <w:trHeight w:val="360" w:hRule="atLeast"/>
          <w:jc w:val="center"/>
        </w:trPr>
        <w:tc>
          <w:tcPr>
            <w:tcW w:w="9057"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spacing w:line="200" w:lineRule="exact"/>
              <w:jc w:val="center"/>
              <w:rPr>
                <w:rFonts w:ascii="宋体" w:hAnsi="宋体" w:eastAsia="宋体" w:cs="宋体"/>
                <w:sz w:val="24"/>
                <w:szCs w:val="24"/>
              </w:rPr>
            </w:pPr>
            <w:r>
              <w:rPr>
                <w:rFonts w:hint="eastAsia" w:ascii="宋体" w:hAnsi="宋体" w:eastAsia="宋体" w:cs="宋体"/>
                <w:sz w:val="20"/>
                <w:szCs w:val="20"/>
              </w:rPr>
              <w:t>第二十条第（五）项</w:t>
            </w:r>
          </w:p>
        </w:tc>
      </w:tr>
      <w:tr>
        <w:tblPrEx>
          <w:tblLayout w:type="fixed"/>
          <w:tblCellMar>
            <w:top w:w="15" w:type="dxa"/>
            <w:left w:w="15" w:type="dxa"/>
            <w:bottom w:w="15" w:type="dxa"/>
            <w:right w:w="15" w:type="dxa"/>
          </w:tblCellMar>
        </w:tblPrEx>
        <w:trPr>
          <w:trHeight w:val="379" w:hRule="atLeast"/>
          <w:jc w:val="center"/>
        </w:trPr>
        <w:tc>
          <w:tcPr>
            <w:tcW w:w="225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jc w:val="center"/>
              <w:rPr>
                <w:rFonts w:ascii="宋体" w:hAnsi="宋体" w:eastAsia="宋体" w:cs="宋体"/>
                <w:sz w:val="24"/>
                <w:szCs w:val="24"/>
              </w:rPr>
            </w:pPr>
            <w:r>
              <w:rPr>
                <w:rFonts w:hint="eastAsia" w:ascii="宋体" w:hAnsi="宋体" w:eastAsia="宋体" w:cs="宋体"/>
                <w:sz w:val="20"/>
                <w:szCs w:val="20"/>
              </w:rPr>
              <w:t>信息内容</w:t>
            </w:r>
          </w:p>
        </w:tc>
        <w:tc>
          <w:tcPr>
            <w:tcW w:w="6804" w:type="dxa"/>
            <w:gridSpan w:val="3"/>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tabs>
                <w:tab w:val="center" w:pos="1092"/>
                <w:tab w:val="right" w:pos="2065"/>
              </w:tabs>
              <w:spacing w:line="200" w:lineRule="exact"/>
              <w:jc w:val="center"/>
              <w:rPr>
                <w:rFonts w:ascii="宋体" w:hAnsi="宋体" w:eastAsia="宋体" w:cs="宋体"/>
                <w:sz w:val="24"/>
                <w:szCs w:val="24"/>
              </w:rPr>
            </w:pPr>
            <w:r>
              <w:rPr>
                <w:rFonts w:hint="eastAsia" w:ascii="宋体" w:hAnsi="宋体" w:eastAsia="宋体" w:cs="宋体"/>
                <w:sz w:val="20"/>
                <w:szCs w:val="20"/>
              </w:rPr>
              <w:t>处理决定数量</w:t>
            </w:r>
          </w:p>
        </w:tc>
      </w:tr>
      <w:tr>
        <w:tblPrEx>
          <w:tblLayout w:type="fixed"/>
          <w:tblCellMar>
            <w:top w:w="15" w:type="dxa"/>
            <w:left w:w="15" w:type="dxa"/>
            <w:bottom w:w="15" w:type="dxa"/>
            <w:right w:w="15" w:type="dxa"/>
          </w:tblCellMar>
        </w:tblPrEx>
        <w:trPr>
          <w:trHeight w:val="303" w:hRule="atLeast"/>
          <w:jc w:val="center"/>
        </w:trPr>
        <w:tc>
          <w:tcPr>
            <w:tcW w:w="225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rPr>
                <w:rFonts w:ascii="宋体" w:hAnsi="宋体" w:eastAsia="宋体" w:cs="宋体"/>
                <w:sz w:val="24"/>
                <w:szCs w:val="24"/>
              </w:rPr>
            </w:pPr>
            <w:r>
              <w:rPr>
                <w:rFonts w:hint="eastAsia" w:ascii="宋体" w:hAnsi="宋体" w:eastAsia="宋体" w:cs="宋体"/>
                <w:sz w:val="20"/>
                <w:szCs w:val="20"/>
              </w:rPr>
              <w:t>行政许可</w:t>
            </w:r>
          </w:p>
        </w:tc>
        <w:tc>
          <w:tcPr>
            <w:tcW w:w="6804" w:type="dxa"/>
            <w:gridSpan w:val="3"/>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38160</w:t>
            </w:r>
          </w:p>
        </w:tc>
      </w:tr>
      <w:tr>
        <w:tblPrEx>
          <w:tblLayout w:type="fixed"/>
          <w:tblCellMar>
            <w:top w:w="15" w:type="dxa"/>
            <w:left w:w="15" w:type="dxa"/>
            <w:bottom w:w="15" w:type="dxa"/>
            <w:right w:w="15" w:type="dxa"/>
          </w:tblCellMar>
        </w:tblPrEx>
        <w:trPr>
          <w:trHeight w:val="301" w:hRule="atLeast"/>
          <w:jc w:val="center"/>
        </w:trPr>
        <w:tc>
          <w:tcPr>
            <w:tcW w:w="9057"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spacing w:line="200" w:lineRule="exact"/>
              <w:jc w:val="center"/>
              <w:rPr>
                <w:rFonts w:ascii="宋体" w:hAnsi="宋体" w:eastAsia="宋体" w:cs="宋体"/>
                <w:sz w:val="24"/>
                <w:szCs w:val="24"/>
              </w:rPr>
            </w:pPr>
            <w:r>
              <w:rPr>
                <w:rFonts w:hint="eastAsia" w:ascii="宋体" w:hAnsi="宋体" w:eastAsia="宋体" w:cs="宋体"/>
                <w:sz w:val="20"/>
                <w:szCs w:val="20"/>
              </w:rPr>
              <w:t>第二十条第（六）项</w:t>
            </w:r>
          </w:p>
        </w:tc>
      </w:tr>
      <w:tr>
        <w:tblPrEx>
          <w:tblLayout w:type="fixed"/>
          <w:tblCellMar>
            <w:top w:w="15" w:type="dxa"/>
            <w:left w:w="15" w:type="dxa"/>
            <w:bottom w:w="15" w:type="dxa"/>
            <w:right w:w="15" w:type="dxa"/>
          </w:tblCellMar>
        </w:tblPrEx>
        <w:trPr>
          <w:trHeight w:val="275" w:hRule="atLeast"/>
          <w:jc w:val="center"/>
        </w:trPr>
        <w:tc>
          <w:tcPr>
            <w:tcW w:w="225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jc w:val="center"/>
              <w:rPr>
                <w:rFonts w:ascii="宋体" w:hAnsi="宋体" w:eastAsia="宋体" w:cs="宋体"/>
                <w:sz w:val="24"/>
                <w:szCs w:val="24"/>
              </w:rPr>
            </w:pPr>
            <w:r>
              <w:rPr>
                <w:rFonts w:hint="eastAsia" w:ascii="宋体" w:hAnsi="宋体" w:eastAsia="宋体" w:cs="宋体"/>
                <w:sz w:val="20"/>
                <w:szCs w:val="20"/>
              </w:rPr>
              <w:t>信息内容</w:t>
            </w:r>
          </w:p>
        </w:tc>
        <w:tc>
          <w:tcPr>
            <w:tcW w:w="6804" w:type="dxa"/>
            <w:gridSpan w:val="3"/>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jc w:val="center"/>
              <w:rPr>
                <w:rFonts w:ascii="宋体" w:hAnsi="宋体" w:eastAsia="宋体" w:cs="宋体"/>
                <w:sz w:val="24"/>
                <w:szCs w:val="24"/>
              </w:rPr>
            </w:pPr>
            <w:r>
              <w:rPr>
                <w:rFonts w:hint="eastAsia" w:ascii="宋体" w:hAnsi="宋体" w:eastAsia="宋体" w:cs="宋体"/>
                <w:sz w:val="20"/>
                <w:szCs w:val="20"/>
              </w:rPr>
              <w:t>处理决定数量</w:t>
            </w:r>
          </w:p>
        </w:tc>
      </w:tr>
      <w:tr>
        <w:tblPrEx>
          <w:tblLayout w:type="fixed"/>
          <w:tblCellMar>
            <w:top w:w="15" w:type="dxa"/>
            <w:left w:w="15" w:type="dxa"/>
            <w:bottom w:w="15" w:type="dxa"/>
            <w:right w:w="15" w:type="dxa"/>
          </w:tblCellMar>
        </w:tblPrEx>
        <w:trPr>
          <w:trHeight w:val="90" w:hRule="atLeast"/>
          <w:jc w:val="center"/>
        </w:trPr>
        <w:tc>
          <w:tcPr>
            <w:tcW w:w="225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sz w:val="24"/>
                <w:szCs w:val="24"/>
              </w:rPr>
            </w:pPr>
            <w:r>
              <w:rPr>
                <w:rFonts w:hint="eastAsia" w:ascii="宋体" w:hAnsi="宋体" w:eastAsia="宋体" w:cs="宋体"/>
                <w:sz w:val="20"/>
                <w:szCs w:val="20"/>
              </w:rPr>
              <w:t>行政处罚</w:t>
            </w:r>
          </w:p>
        </w:tc>
        <w:tc>
          <w:tcPr>
            <w:tcW w:w="6804" w:type="dxa"/>
            <w:gridSpan w:val="3"/>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4898</w:t>
            </w:r>
          </w:p>
        </w:tc>
      </w:tr>
      <w:tr>
        <w:tblPrEx>
          <w:tblLayout w:type="fixed"/>
          <w:tblCellMar>
            <w:top w:w="15" w:type="dxa"/>
            <w:left w:w="15" w:type="dxa"/>
            <w:bottom w:w="15" w:type="dxa"/>
            <w:right w:w="15" w:type="dxa"/>
          </w:tblCellMar>
        </w:tblPrEx>
        <w:trPr>
          <w:trHeight w:val="304" w:hRule="atLeast"/>
          <w:jc w:val="center"/>
        </w:trPr>
        <w:tc>
          <w:tcPr>
            <w:tcW w:w="225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sz w:val="24"/>
                <w:szCs w:val="24"/>
              </w:rPr>
            </w:pPr>
            <w:r>
              <w:rPr>
                <w:rFonts w:hint="eastAsia" w:ascii="宋体" w:hAnsi="宋体" w:eastAsia="宋体" w:cs="宋体"/>
                <w:sz w:val="20"/>
                <w:szCs w:val="20"/>
              </w:rPr>
              <w:t>行政强制</w:t>
            </w:r>
          </w:p>
        </w:tc>
        <w:tc>
          <w:tcPr>
            <w:tcW w:w="6804" w:type="dxa"/>
            <w:gridSpan w:val="3"/>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1557</w:t>
            </w:r>
          </w:p>
        </w:tc>
      </w:tr>
      <w:tr>
        <w:tblPrEx>
          <w:tblLayout w:type="fixed"/>
          <w:tblCellMar>
            <w:top w:w="15" w:type="dxa"/>
            <w:left w:w="15" w:type="dxa"/>
            <w:bottom w:w="15" w:type="dxa"/>
            <w:right w:w="15" w:type="dxa"/>
          </w:tblCellMar>
        </w:tblPrEx>
        <w:trPr>
          <w:trHeight w:val="90" w:hRule="atLeast"/>
          <w:jc w:val="center"/>
        </w:trPr>
        <w:tc>
          <w:tcPr>
            <w:tcW w:w="9057"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第二十条第（八）项</w:t>
            </w:r>
          </w:p>
        </w:tc>
      </w:tr>
      <w:tr>
        <w:tblPrEx>
          <w:tblLayout w:type="fixed"/>
          <w:tblCellMar>
            <w:top w:w="15" w:type="dxa"/>
            <w:left w:w="15" w:type="dxa"/>
            <w:bottom w:w="15" w:type="dxa"/>
            <w:right w:w="15" w:type="dxa"/>
          </w:tblCellMar>
        </w:tblPrEx>
        <w:trPr>
          <w:trHeight w:val="270" w:hRule="atLeast"/>
          <w:jc w:val="center"/>
        </w:trPr>
        <w:tc>
          <w:tcPr>
            <w:tcW w:w="225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信息内容</w:t>
            </w:r>
          </w:p>
        </w:tc>
        <w:tc>
          <w:tcPr>
            <w:tcW w:w="6804" w:type="dxa"/>
            <w:gridSpan w:val="3"/>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tabs>
                <w:tab w:val="left" w:pos="2663"/>
              </w:tabs>
              <w:rPr>
                <w:rFonts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0"/>
                <w:szCs w:val="20"/>
              </w:rPr>
              <w:t>本年收费金额(单位:万元)</w:t>
            </w:r>
          </w:p>
        </w:tc>
      </w:tr>
      <w:tr>
        <w:tblPrEx>
          <w:tblLayout w:type="fixed"/>
          <w:tblCellMar>
            <w:top w:w="15" w:type="dxa"/>
            <w:left w:w="15" w:type="dxa"/>
            <w:bottom w:w="15" w:type="dxa"/>
            <w:right w:w="15" w:type="dxa"/>
          </w:tblCellMar>
        </w:tblPrEx>
        <w:trPr>
          <w:trHeight w:val="272" w:hRule="atLeast"/>
          <w:jc w:val="center"/>
        </w:trPr>
        <w:tc>
          <w:tcPr>
            <w:tcW w:w="225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ascii="宋体" w:hAnsi="宋体" w:eastAsia="宋体" w:cs="宋体"/>
                <w:sz w:val="24"/>
                <w:szCs w:val="24"/>
              </w:rPr>
            </w:pPr>
            <w:r>
              <w:rPr>
                <w:rFonts w:hint="eastAsia" w:ascii="宋体" w:hAnsi="宋体" w:eastAsia="宋体" w:cs="宋体"/>
                <w:sz w:val="20"/>
                <w:szCs w:val="20"/>
              </w:rPr>
              <w:t>行政事业性收费</w:t>
            </w:r>
          </w:p>
        </w:tc>
        <w:tc>
          <w:tcPr>
            <w:tcW w:w="6804" w:type="dxa"/>
            <w:gridSpan w:val="3"/>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945.0345</w:t>
            </w:r>
          </w:p>
        </w:tc>
      </w:tr>
    </w:tbl>
    <w:p>
      <w:pPr>
        <w:widowControl/>
        <w:spacing w:line="520" w:lineRule="exact"/>
        <w:ind w:firstLine="640" w:firstLineChars="200"/>
        <w:rPr>
          <w:rFonts w:hint="eastAsia" w:ascii="黑体" w:hAnsi="黑体" w:eastAsia="黑体" w:cs="黑体"/>
          <w:bCs/>
          <w:kern w:val="0"/>
          <w:sz w:val="32"/>
          <w:szCs w:val="32"/>
        </w:rPr>
      </w:pPr>
    </w:p>
    <w:p>
      <w:pPr>
        <w:widowControl/>
        <w:spacing w:line="52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三、收到和处理政府信息公开申请情况</w:t>
      </w:r>
    </w:p>
    <w:tbl>
      <w:tblPr>
        <w:tblStyle w:val="20"/>
        <w:tblW w:w="9039" w:type="dxa"/>
        <w:jc w:val="center"/>
        <w:tblInd w:w="0" w:type="dxa"/>
        <w:tblLayout w:type="fixed"/>
        <w:tblCellMar>
          <w:top w:w="15" w:type="dxa"/>
          <w:left w:w="15" w:type="dxa"/>
          <w:bottom w:w="15" w:type="dxa"/>
          <w:right w:w="15" w:type="dxa"/>
        </w:tblCellMar>
      </w:tblPr>
      <w:tblGrid>
        <w:gridCol w:w="681"/>
        <w:gridCol w:w="854"/>
        <w:gridCol w:w="2318"/>
        <w:gridCol w:w="645"/>
        <w:gridCol w:w="691"/>
        <w:gridCol w:w="755"/>
        <w:gridCol w:w="813"/>
        <w:gridCol w:w="973"/>
        <w:gridCol w:w="711"/>
        <w:gridCol w:w="598"/>
      </w:tblGrid>
      <w:tr>
        <w:tblPrEx>
          <w:tblLayout w:type="fixed"/>
          <w:tblCellMar>
            <w:top w:w="15" w:type="dxa"/>
            <w:left w:w="15" w:type="dxa"/>
            <w:bottom w:w="15" w:type="dxa"/>
            <w:right w:w="15" w:type="dxa"/>
          </w:tblCellMar>
        </w:tblPrEx>
        <w:trPr>
          <w:jc w:val="center"/>
        </w:trPr>
        <w:tc>
          <w:tcPr>
            <w:tcW w:w="3853"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（本列数据的勾稽关系为：第一项加第二项之和，等于第三项加第四项之和）</w:t>
            </w:r>
          </w:p>
        </w:tc>
        <w:tc>
          <w:tcPr>
            <w:tcW w:w="5186"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申请人情况</w:t>
            </w:r>
          </w:p>
        </w:tc>
      </w:tr>
      <w:tr>
        <w:tblPrEx>
          <w:tblLayout w:type="fixed"/>
          <w:tblCellMar>
            <w:top w:w="15" w:type="dxa"/>
            <w:left w:w="15" w:type="dxa"/>
            <w:bottom w:w="15" w:type="dxa"/>
            <w:right w:w="15" w:type="dxa"/>
          </w:tblCellMar>
        </w:tblPrEx>
        <w:trPr>
          <w:jc w:val="center"/>
        </w:trPr>
        <w:tc>
          <w:tcPr>
            <w:tcW w:w="3853" w:type="dxa"/>
            <w:gridSpan w:val="3"/>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64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自然人</w:t>
            </w:r>
          </w:p>
        </w:tc>
        <w:tc>
          <w:tcPr>
            <w:tcW w:w="3943"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法人或其他组织</w:t>
            </w:r>
          </w:p>
        </w:tc>
        <w:tc>
          <w:tcPr>
            <w:tcW w:w="59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总计</w:t>
            </w:r>
          </w:p>
        </w:tc>
      </w:tr>
      <w:tr>
        <w:tblPrEx>
          <w:tblLayout w:type="fixed"/>
          <w:tblCellMar>
            <w:top w:w="15" w:type="dxa"/>
            <w:left w:w="15" w:type="dxa"/>
            <w:bottom w:w="15" w:type="dxa"/>
            <w:right w:w="15" w:type="dxa"/>
          </w:tblCellMar>
        </w:tblPrEx>
        <w:trPr>
          <w:jc w:val="center"/>
        </w:trPr>
        <w:tc>
          <w:tcPr>
            <w:tcW w:w="3853" w:type="dxa"/>
            <w:gridSpan w:val="3"/>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645" w:type="dxa"/>
            <w:vMerge w:val="continue"/>
            <w:tcBorders>
              <w:top w:val="nil"/>
              <w:left w:val="nil"/>
              <w:bottom w:val="single" w:color="auto" w:sz="8" w:space="0"/>
              <w:right w:val="single" w:color="auto" w:sz="8" w:space="0"/>
            </w:tcBorders>
            <w:vAlign w:val="center"/>
          </w:tcPr>
          <w:p>
            <w:pPr>
              <w:rPr>
                <w:rFonts w:ascii="宋体" w:hAnsi="宋体" w:eastAsia="宋体" w:cs="宋体"/>
                <w:sz w:val="24"/>
                <w:szCs w:val="24"/>
              </w:rPr>
            </w:pP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商业企业</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科研机构</w:t>
            </w:r>
          </w:p>
        </w:tc>
        <w:tc>
          <w:tcPr>
            <w:tcW w:w="81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社会公益组织</w:t>
            </w:r>
          </w:p>
        </w:tc>
        <w:tc>
          <w:tcPr>
            <w:tcW w:w="97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法律服务机构</w:t>
            </w:r>
          </w:p>
        </w:tc>
        <w:tc>
          <w:tcPr>
            <w:tcW w:w="71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其他</w:t>
            </w:r>
          </w:p>
        </w:tc>
        <w:tc>
          <w:tcPr>
            <w:tcW w:w="598" w:type="dxa"/>
            <w:vMerge w:val="continue"/>
            <w:tcBorders>
              <w:top w:val="single" w:color="auto" w:sz="8" w:space="0"/>
              <w:left w:val="nil"/>
              <w:bottom w:val="single" w:color="auto" w:sz="8" w:space="0"/>
              <w:right w:val="single" w:color="auto" w:sz="8" w:space="0"/>
            </w:tcBorders>
            <w:vAlign w:val="center"/>
          </w:tcPr>
          <w:p>
            <w:pPr>
              <w:rPr>
                <w:rFonts w:ascii="宋体" w:hAnsi="宋体" w:eastAsia="宋体" w:cs="宋体"/>
                <w:sz w:val="24"/>
                <w:szCs w:val="24"/>
              </w:rPr>
            </w:pPr>
          </w:p>
        </w:tc>
      </w:tr>
      <w:tr>
        <w:tblPrEx>
          <w:tblLayout w:type="fixed"/>
          <w:tblCellMar>
            <w:top w:w="15" w:type="dxa"/>
            <w:left w:w="15" w:type="dxa"/>
            <w:bottom w:w="15" w:type="dxa"/>
            <w:right w:w="15" w:type="dxa"/>
          </w:tblCellMar>
        </w:tblPrEx>
        <w:trPr>
          <w:jc w:val="center"/>
        </w:trPr>
        <w:tc>
          <w:tcPr>
            <w:tcW w:w="3853"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宋体" w:hAnsi="宋体" w:eastAsia="宋体" w:cs="宋体"/>
                <w:sz w:val="20"/>
                <w:szCs w:val="20"/>
              </w:rPr>
              <w:t>一、本年新收政府信息公开申请数量</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82</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82</w:t>
            </w:r>
          </w:p>
        </w:tc>
      </w:tr>
      <w:tr>
        <w:tblPrEx>
          <w:tblLayout w:type="fixed"/>
          <w:tblCellMar>
            <w:top w:w="15" w:type="dxa"/>
            <w:left w:w="15" w:type="dxa"/>
            <w:bottom w:w="15" w:type="dxa"/>
            <w:right w:w="15" w:type="dxa"/>
          </w:tblCellMar>
        </w:tblPrEx>
        <w:trPr>
          <w:jc w:val="center"/>
        </w:trPr>
        <w:tc>
          <w:tcPr>
            <w:tcW w:w="3853"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宋体" w:hAnsi="宋体" w:eastAsia="宋体" w:cs="宋体"/>
                <w:sz w:val="20"/>
                <w:szCs w:val="20"/>
              </w:rPr>
              <w:t>二、上年结转政府信息公开申请数量</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trHeight w:val="310" w:hRule="atLeast"/>
          <w:jc w:val="center"/>
        </w:trPr>
        <w:tc>
          <w:tcPr>
            <w:tcW w:w="681"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宋体" w:hAnsi="宋体" w:eastAsia="宋体" w:cs="宋体"/>
                <w:sz w:val="20"/>
                <w:szCs w:val="20"/>
              </w:rPr>
            </w:pPr>
          </w:p>
          <w:p>
            <w:pPr>
              <w:jc w:val="center"/>
              <w:rPr>
                <w:rFonts w:hint="eastAsia" w:ascii="宋体" w:hAnsi="宋体" w:eastAsia="宋体" w:cs="宋体"/>
                <w:sz w:val="20"/>
                <w:szCs w:val="20"/>
              </w:rPr>
            </w:pPr>
          </w:p>
          <w:p>
            <w:pPr>
              <w:jc w:val="center"/>
              <w:rPr>
                <w:rFonts w:hint="eastAsia" w:ascii="宋体" w:hAnsi="宋体" w:eastAsia="宋体" w:cs="宋体"/>
                <w:sz w:val="20"/>
                <w:szCs w:val="20"/>
              </w:rPr>
            </w:pPr>
          </w:p>
          <w:p>
            <w:pPr>
              <w:jc w:val="center"/>
              <w:rPr>
                <w:rFonts w:hint="eastAsia" w:ascii="宋体" w:hAnsi="宋体" w:eastAsia="宋体" w:cs="宋体"/>
                <w:sz w:val="20"/>
                <w:szCs w:val="20"/>
              </w:rPr>
            </w:pPr>
          </w:p>
          <w:p>
            <w:pPr>
              <w:jc w:val="center"/>
              <w:rPr>
                <w:rFonts w:hint="eastAsia" w:ascii="宋体" w:hAnsi="宋体" w:eastAsia="宋体" w:cs="宋体"/>
                <w:sz w:val="20"/>
                <w:szCs w:val="20"/>
              </w:rPr>
            </w:pPr>
          </w:p>
          <w:p>
            <w:pPr>
              <w:jc w:val="center"/>
              <w:rPr>
                <w:rFonts w:hint="eastAsia" w:ascii="宋体" w:hAnsi="宋体" w:eastAsia="宋体" w:cs="宋体"/>
                <w:sz w:val="20"/>
                <w:szCs w:val="20"/>
              </w:rPr>
            </w:pPr>
          </w:p>
          <w:p>
            <w:pPr>
              <w:jc w:val="center"/>
              <w:rPr>
                <w:rFonts w:hint="eastAsia" w:ascii="宋体" w:hAnsi="宋体" w:eastAsia="宋体" w:cs="宋体"/>
                <w:sz w:val="20"/>
                <w:szCs w:val="20"/>
              </w:rPr>
            </w:pPr>
          </w:p>
          <w:p>
            <w:pPr>
              <w:jc w:val="center"/>
              <w:rPr>
                <w:rFonts w:ascii="宋体" w:hAnsi="宋体" w:eastAsia="宋体" w:cs="宋体"/>
                <w:sz w:val="24"/>
                <w:szCs w:val="24"/>
              </w:rPr>
            </w:pPr>
            <w:r>
              <w:rPr>
                <w:rFonts w:hint="eastAsia" w:ascii="宋体" w:hAnsi="宋体" w:eastAsia="宋体" w:cs="宋体"/>
                <w:sz w:val="20"/>
                <w:szCs w:val="20"/>
              </w:rPr>
              <w:t>三、本年度办理结果</w:t>
            </w:r>
          </w:p>
        </w:tc>
        <w:tc>
          <w:tcPr>
            <w:tcW w:w="3172"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楷体" w:hAnsi="楷体" w:eastAsia="楷体" w:cs="宋体"/>
                <w:sz w:val="20"/>
                <w:szCs w:val="20"/>
              </w:rPr>
              <w:t>（一）予以公开</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73</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73</w:t>
            </w:r>
          </w:p>
        </w:tc>
      </w:tr>
      <w:tr>
        <w:tblPrEx>
          <w:tblLayout w:type="fixed"/>
          <w:tblCellMar>
            <w:top w:w="15" w:type="dxa"/>
            <w:left w:w="15" w:type="dxa"/>
            <w:bottom w:w="15" w:type="dxa"/>
            <w:right w:w="15" w:type="dxa"/>
          </w:tblCellMar>
        </w:tblPrEx>
        <w:trPr>
          <w:trHeight w:val="530" w:hRule="atLeast"/>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3172"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楷体" w:hAnsi="楷体" w:eastAsia="楷体" w:cs="宋体"/>
                <w:sz w:val="20"/>
                <w:szCs w:val="20"/>
              </w:rPr>
              <w:t>（二）部分公开（区分处理的，只计这一情形，不计其他情形）</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trHeight w:val="325" w:hRule="atLeast"/>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楷体" w:hAnsi="楷体" w:eastAsia="楷体" w:cs="宋体"/>
                <w:sz w:val="20"/>
                <w:szCs w:val="20"/>
              </w:rPr>
              <w:t>（三）不予公开</w:t>
            </w: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楷体" w:hAnsi="楷体" w:eastAsia="楷体" w:cs="宋体"/>
                <w:sz w:val="20"/>
                <w:szCs w:val="20"/>
              </w:rPr>
              <w:t>1.属于国家秘密</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0</w:t>
            </w:r>
          </w:p>
        </w:tc>
      </w:tr>
      <w:tr>
        <w:tblPrEx>
          <w:tblLayout w:type="fixed"/>
          <w:tblCellMar>
            <w:top w:w="15" w:type="dxa"/>
            <w:left w:w="15" w:type="dxa"/>
            <w:bottom w:w="15" w:type="dxa"/>
            <w:right w:w="15" w:type="dxa"/>
          </w:tblCellMar>
        </w:tblPrEx>
        <w:trPr>
          <w:trHeight w:val="429" w:hRule="atLeast"/>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spacing w:line="400" w:lineRule="exact"/>
              <w:rPr>
                <w:rFonts w:ascii="宋体" w:hAnsi="宋体" w:eastAsia="宋体" w:cs="宋体"/>
                <w:sz w:val="24"/>
                <w:szCs w:val="24"/>
              </w:rPr>
            </w:pP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40" w:lineRule="exact"/>
              <w:rPr>
                <w:rFonts w:ascii="宋体" w:hAnsi="宋体" w:eastAsia="宋体" w:cs="宋体"/>
                <w:sz w:val="24"/>
                <w:szCs w:val="24"/>
              </w:rPr>
            </w:pPr>
            <w:r>
              <w:rPr>
                <w:rFonts w:hint="eastAsia" w:ascii="楷体" w:hAnsi="楷体" w:eastAsia="楷体" w:cs="宋体"/>
                <w:sz w:val="20"/>
                <w:szCs w:val="20"/>
              </w:rPr>
              <w:t>2.其他法律行政法规禁止公开</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spacing w:line="400" w:lineRule="exact"/>
              <w:rPr>
                <w:rFonts w:ascii="宋体" w:hAnsi="宋体" w:eastAsia="宋体" w:cs="宋体"/>
                <w:sz w:val="24"/>
                <w:szCs w:val="24"/>
              </w:rPr>
            </w:pP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楷体" w:hAnsi="楷体" w:eastAsia="楷体" w:cs="宋体"/>
                <w:sz w:val="20"/>
                <w:szCs w:val="20"/>
              </w:rPr>
              <w:t>3.危及“三安全一稳定”</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spacing w:line="400" w:lineRule="exact"/>
              <w:rPr>
                <w:rFonts w:ascii="宋体" w:hAnsi="宋体" w:eastAsia="宋体" w:cs="宋体"/>
                <w:sz w:val="24"/>
                <w:szCs w:val="24"/>
              </w:rPr>
            </w:pP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楷体" w:hAnsi="楷体" w:eastAsia="楷体" w:cs="宋体"/>
                <w:sz w:val="20"/>
                <w:szCs w:val="20"/>
              </w:rPr>
              <w:t>4.保护第三方合法权益</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spacing w:line="400" w:lineRule="exact"/>
              <w:rPr>
                <w:rFonts w:ascii="宋体" w:hAnsi="宋体" w:eastAsia="宋体" w:cs="宋体"/>
                <w:sz w:val="24"/>
                <w:szCs w:val="24"/>
              </w:rPr>
            </w:pP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40" w:lineRule="exact"/>
              <w:rPr>
                <w:rFonts w:ascii="宋体" w:hAnsi="宋体" w:eastAsia="宋体" w:cs="宋体"/>
                <w:sz w:val="24"/>
                <w:szCs w:val="24"/>
              </w:rPr>
            </w:pPr>
            <w:r>
              <w:rPr>
                <w:rFonts w:hint="eastAsia" w:ascii="楷体" w:hAnsi="楷体" w:eastAsia="楷体" w:cs="宋体"/>
                <w:sz w:val="20"/>
                <w:szCs w:val="20"/>
              </w:rPr>
              <w:t>5.属于三类内部事务信息</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spacing w:line="400" w:lineRule="exact"/>
              <w:rPr>
                <w:rFonts w:ascii="宋体" w:hAnsi="宋体" w:eastAsia="宋体" w:cs="宋体"/>
                <w:sz w:val="24"/>
                <w:szCs w:val="24"/>
              </w:rPr>
            </w:pP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楷体" w:hAnsi="楷体" w:eastAsia="楷体" w:cs="宋体"/>
                <w:sz w:val="20"/>
                <w:szCs w:val="20"/>
              </w:rPr>
              <w:t>6.属于四类过程性信息</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spacing w:line="400" w:lineRule="exact"/>
              <w:rPr>
                <w:rFonts w:ascii="宋体" w:hAnsi="宋体" w:eastAsia="宋体" w:cs="宋体"/>
                <w:sz w:val="24"/>
                <w:szCs w:val="24"/>
              </w:rPr>
            </w:pP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楷体" w:hAnsi="楷体" w:eastAsia="楷体" w:cs="宋体"/>
                <w:sz w:val="20"/>
                <w:szCs w:val="20"/>
              </w:rPr>
              <w:t>7.属于行政执法案卷</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spacing w:line="400" w:lineRule="exact"/>
              <w:rPr>
                <w:rFonts w:ascii="宋体" w:hAnsi="宋体" w:eastAsia="宋体" w:cs="宋体"/>
                <w:sz w:val="24"/>
                <w:szCs w:val="24"/>
              </w:rPr>
            </w:pP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楷体" w:hAnsi="楷体" w:eastAsia="楷体" w:cs="宋体"/>
                <w:sz w:val="20"/>
                <w:szCs w:val="20"/>
              </w:rPr>
              <w:t>8.属于行政查询事项</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r>
      <w:tr>
        <w:tblPrEx>
          <w:tblLayout w:type="fixed"/>
          <w:tblCellMar>
            <w:top w:w="15" w:type="dxa"/>
            <w:left w:w="15" w:type="dxa"/>
            <w:bottom w:w="15" w:type="dxa"/>
            <w:right w:w="15" w:type="dxa"/>
          </w:tblCellMar>
        </w:tblPrEx>
        <w:trPr>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楷体" w:hAnsi="楷体" w:eastAsia="楷体" w:cs="宋体"/>
                <w:sz w:val="20"/>
                <w:szCs w:val="20"/>
              </w:rPr>
              <w:t>（四）无法提供</w:t>
            </w: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40" w:lineRule="exact"/>
              <w:rPr>
                <w:rFonts w:ascii="宋体" w:hAnsi="宋体" w:eastAsia="宋体" w:cs="宋体"/>
                <w:sz w:val="24"/>
                <w:szCs w:val="24"/>
              </w:rPr>
            </w:pPr>
            <w:r>
              <w:rPr>
                <w:rFonts w:hint="eastAsia" w:ascii="楷体" w:hAnsi="楷体" w:eastAsia="楷体" w:cs="宋体"/>
                <w:sz w:val="20"/>
                <w:szCs w:val="20"/>
              </w:rPr>
              <w:t>1.本机关不掌握相关政府信息</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r>
      <w:tr>
        <w:tblPrEx>
          <w:tblLayout w:type="fixed"/>
          <w:tblCellMar>
            <w:top w:w="15" w:type="dxa"/>
            <w:left w:w="15" w:type="dxa"/>
            <w:bottom w:w="15" w:type="dxa"/>
            <w:right w:w="15" w:type="dxa"/>
          </w:tblCellMar>
        </w:tblPrEx>
        <w:trPr>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spacing w:line="400" w:lineRule="exact"/>
              <w:rPr>
                <w:rFonts w:ascii="宋体" w:hAnsi="宋体" w:eastAsia="宋体" w:cs="宋体"/>
                <w:sz w:val="24"/>
                <w:szCs w:val="24"/>
              </w:rPr>
            </w:pP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40" w:lineRule="exact"/>
              <w:rPr>
                <w:rFonts w:ascii="宋体" w:hAnsi="宋体" w:eastAsia="宋体" w:cs="宋体"/>
                <w:sz w:val="24"/>
                <w:szCs w:val="24"/>
              </w:rPr>
            </w:pPr>
            <w:r>
              <w:rPr>
                <w:rFonts w:hint="eastAsia" w:ascii="楷体" w:hAnsi="楷体" w:eastAsia="楷体" w:cs="宋体"/>
                <w:sz w:val="20"/>
                <w:szCs w:val="20"/>
              </w:rPr>
              <w:t>2.没有现成信息需要另行制作</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spacing w:line="400" w:lineRule="exact"/>
              <w:rPr>
                <w:rFonts w:ascii="宋体" w:hAnsi="宋体" w:eastAsia="宋体" w:cs="宋体"/>
                <w:sz w:val="24"/>
                <w:szCs w:val="24"/>
              </w:rPr>
            </w:pP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40" w:lineRule="exact"/>
              <w:rPr>
                <w:rFonts w:ascii="宋体" w:hAnsi="宋体" w:eastAsia="宋体" w:cs="宋体"/>
                <w:sz w:val="24"/>
                <w:szCs w:val="24"/>
              </w:rPr>
            </w:pPr>
            <w:r>
              <w:rPr>
                <w:rFonts w:hint="eastAsia" w:ascii="楷体" w:hAnsi="楷体" w:eastAsia="楷体" w:cs="宋体"/>
                <w:sz w:val="20"/>
                <w:szCs w:val="20"/>
              </w:rPr>
              <w:t>3.补正后申请内容仍不明确</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trHeight w:val="400" w:hRule="atLeast"/>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楷体" w:hAnsi="楷体" w:eastAsia="楷体" w:cs="宋体"/>
                <w:sz w:val="20"/>
                <w:szCs w:val="20"/>
              </w:rPr>
              <w:t>（五）不予处理</w:t>
            </w: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楷体" w:hAnsi="楷体" w:eastAsia="楷体" w:cs="宋体"/>
                <w:sz w:val="20"/>
                <w:szCs w:val="20"/>
              </w:rPr>
              <w:t>1.信访举报投诉类申请</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spacing w:line="400" w:lineRule="exact"/>
              <w:rPr>
                <w:rFonts w:ascii="宋体" w:hAnsi="宋体" w:eastAsia="宋体" w:cs="宋体"/>
                <w:sz w:val="24"/>
                <w:szCs w:val="24"/>
              </w:rPr>
            </w:pP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rPr>
                <w:rFonts w:ascii="宋体" w:hAnsi="宋体" w:eastAsia="宋体" w:cs="宋体"/>
                <w:sz w:val="24"/>
                <w:szCs w:val="24"/>
              </w:rPr>
            </w:pPr>
            <w:r>
              <w:rPr>
                <w:rFonts w:hint="eastAsia" w:ascii="楷体" w:hAnsi="楷体" w:eastAsia="楷体" w:cs="宋体"/>
                <w:sz w:val="20"/>
                <w:szCs w:val="20"/>
              </w:rPr>
              <w:t>2.重复申请</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sz w:val="24"/>
                <w:szCs w:val="24"/>
              </w:rPr>
            </w:pP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rPr>
                <w:rFonts w:ascii="宋体" w:hAnsi="宋体" w:eastAsia="宋体" w:cs="宋体"/>
                <w:sz w:val="24"/>
                <w:szCs w:val="24"/>
              </w:rPr>
            </w:pPr>
            <w:r>
              <w:rPr>
                <w:rFonts w:hint="eastAsia" w:ascii="楷体" w:hAnsi="楷体" w:eastAsia="楷体" w:cs="宋体"/>
                <w:sz w:val="20"/>
                <w:szCs w:val="20"/>
              </w:rPr>
              <w:t>3.要求提供公开出版物</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sz w:val="24"/>
                <w:szCs w:val="24"/>
              </w:rPr>
            </w:pP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40" w:lineRule="exact"/>
              <w:rPr>
                <w:rFonts w:ascii="宋体" w:hAnsi="宋体" w:eastAsia="宋体" w:cs="宋体"/>
                <w:sz w:val="24"/>
                <w:szCs w:val="24"/>
              </w:rPr>
            </w:pPr>
            <w:r>
              <w:rPr>
                <w:rFonts w:hint="eastAsia" w:ascii="楷体" w:hAnsi="楷体" w:eastAsia="楷体" w:cs="宋体"/>
                <w:sz w:val="20"/>
                <w:szCs w:val="20"/>
              </w:rPr>
              <w:t>4.无正当理由大量反复申请</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jc w:val="center"/>
        </w:trPr>
        <w:tc>
          <w:tcPr>
            <w:tcW w:w="681"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rPr>
                <w:rFonts w:ascii="宋体" w:hAnsi="宋体" w:eastAsia="宋体" w:cs="宋体"/>
                <w:sz w:val="24"/>
                <w:szCs w:val="24"/>
              </w:rPr>
            </w:pPr>
          </w:p>
        </w:tc>
        <w:tc>
          <w:tcPr>
            <w:tcW w:w="23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40" w:lineRule="exact"/>
              <w:rPr>
                <w:rFonts w:ascii="宋体" w:hAnsi="宋体" w:eastAsia="宋体" w:cs="宋体"/>
                <w:sz w:val="24"/>
                <w:szCs w:val="24"/>
              </w:rPr>
            </w:pPr>
            <w:r>
              <w:rPr>
                <w:rFonts w:hint="eastAsia" w:ascii="楷体" w:hAnsi="楷体" w:eastAsia="楷体" w:cs="宋体"/>
                <w:sz w:val="20"/>
                <w:szCs w:val="20"/>
              </w:rPr>
              <w:t>5.要求行政机关确认或重新出具已获取信息</w:t>
            </w:r>
          </w:p>
        </w:tc>
        <w:tc>
          <w:tcPr>
            <w:tcW w:w="645"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trHeight w:val="109" w:hRule="atLeast"/>
          <w:jc w:val="center"/>
        </w:trPr>
        <w:tc>
          <w:tcPr>
            <w:tcW w:w="681" w:type="dxa"/>
            <w:vMerge w:val="continue"/>
            <w:tcBorders>
              <w:top w:val="nil"/>
              <w:left w:val="single" w:color="auto" w:sz="8" w:space="0"/>
              <w:bottom w:val="single" w:color="auto" w:sz="8" w:space="0"/>
              <w:right w:val="single" w:color="auto" w:sz="8" w:space="0"/>
            </w:tcBorders>
            <w:vAlign w:val="center"/>
          </w:tcPr>
          <w:p>
            <w:pPr>
              <w:spacing w:line="200" w:lineRule="exact"/>
              <w:rPr>
                <w:rFonts w:ascii="宋体" w:hAnsi="宋体" w:eastAsia="宋体" w:cs="宋体"/>
                <w:sz w:val="24"/>
                <w:szCs w:val="24"/>
              </w:rPr>
            </w:pPr>
          </w:p>
        </w:tc>
        <w:tc>
          <w:tcPr>
            <w:tcW w:w="854" w:type="dxa"/>
            <w:vMerge w:val="restart"/>
            <w:tcBorders>
              <w:top w:val="nil"/>
              <w:left w:val="nil"/>
              <w:right w:val="single" w:color="auto" w:sz="8" w:space="0"/>
            </w:tcBorders>
            <w:shd w:val="clear" w:color="auto" w:fill="E6F4FF"/>
            <w:tcMar>
              <w:top w:w="0" w:type="dxa"/>
              <w:left w:w="108" w:type="dxa"/>
              <w:bottom w:w="0" w:type="dxa"/>
              <w:right w:w="108" w:type="dxa"/>
            </w:tcMar>
            <w:vAlign w:val="center"/>
          </w:tcPr>
          <w:p>
            <w:pPr>
              <w:spacing w:line="200" w:lineRule="exact"/>
              <w:rPr>
                <w:rFonts w:ascii="宋体" w:hAnsi="宋体" w:eastAsia="宋体" w:cs="宋体"/>
                <w:sz w:val="24"/>
                <w:szCs w:val="24"/>
              </w:rPr>
            </w:pPr>
            <w:r>
              <w:rPr>
                <w:rFonts w:hint="eastAsia" w:ascii="楷体" w:hAnsi="楷体" w:eastAsia="楷体" w:cs="宋体"/>
                <w:sz w:val="20"/>
                <w:szCs w:val="20"/>
              </w:rPr>
              <w:t>（六）其他处理</w:t>
            </w:r>
          </w:p>
        </w:tc>
        <w:tc>
          <w:tcPr>
            <w:tcW w:w="2318" w:type="dxa"/>
            <w:tcBorders>
              <w:top w:val="nil"/>
              <w:left w:val="nil"/>
              <w:bottom w:val="single" w:color="auto" w:sz="8" w:space="0"/>
              <w:right w:val="single" w:color="auto" w:sz="4" w:space="0"/>
            </w:tcBorders>
            <w:shd w:val="clear" w:color="auto" w:fill="E6F4FF"/>
            <w:tcMar>
              <w:top w:w="0" w:type="dxa"/>
              <w:left w:w="108" w:type="dxa"/>
              <w:bottom w:w="0" w:type="dxa"/>
              <w:right w:w="108" w:type="dxa"/>
            </w:tcMar>
            <w:vAlign w:val="center"/>
          </w:tcPr>
          <w:p>
            <w:pPr>
              <w:spacing w:line="200" w:lineRule="exact"/>
              <w:rPr>
                <w:rFonts w:ascii="楷体" w:hAnsi="楷体" w:eastAsia="楷体" w:cs="宋体"/>
                <w:sz w:val="20"/>
                <w:szCs w:val="20"/>
              </w:rPr>
            </w:pPr>
            <w:r>
              <w:rPr>
                <w:rFonts w:hint="eastAsia" w:ascii="楷体" w:hAnsi="楷体" w:eastAsia="楷体" w:cs="宋体"/>
                <w:sz w:val="20"/>
                <w:szCs w:val="20"/>
              </w:rPr>
              <w:t>1.申请人无正当理由逾期不补正、行政机关不再处理其政府信息公开申请</w:t>
            </w:r>
          </w:p>
        </w:tc>
        <w:tc>
          <w:tcPr>
            <w:tcW w:w="645"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691"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55"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813"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973"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711"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c>
          <w:tcPr>
            <w:tcW w:w="598"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spacing w:line="400" w:lineRule="exact"/>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trHeight w:val="109" w:hRule="atLeast"/>
          <w:jc w:val="center"/>
        </w:trPr>
        <w:tc>
          <w:tcPr>
            <w:tcW w:w="681" w:type="dxa"/>
            <w:vMerge w:val="continue"/>
            <w:tcBorders>
              <w:top w:val="nil"/>
              <w:left w:val="single" w:color="auto" w:sz="8" w:space="0"/>
              <w:bottom w:val="single" w:color="auto" w:sz="8" w:space="0"/>
              <w:right w:val="single" w:color="auto" w:sz="8" w:space="0"/>
            </w:tcBorders>
            <w:vAlign w:val="center"/>
          </w:tcPr>
          <w:p>
            <w:pPr>
              <w:spacing w:line="200" w:lineRule="exact"/>
            </w:pPr>
          </w:p>
        </w:tc>
        <w:tc>
          <w:tcPr>
            <w:tcW w:w="854" w:type="dxa"/>
            <w:vMerge w:val="continue"/>
            <w:tcBorders>
              <w:left w:val="nil"/>
              <w:right w:val="single" w:color="auto" w:sz="8" w:space="0"/>
            </w:tcBorders>
            <w:shd w:val="clear" w:color="auto" w:fill="E6F4FF"/>
            <w:tcMar>
              <w:top w:w="0" w:type="dxa"/>
              <w:left w:w="108" w:type="dxa"/>
              <w:bottom w:w="0" w:type="dxa"/>
              <w:right w:w="108" w:type="dxa"/>
            </w:tcMar>
            <w:vAlign w:val="center"/>
          </w:tcPr>
          <w:p>
            <w:pPr>
              <w:spacing w:line="200" w:lineRule="exact"/>
            </w:pPr>
          </w:p>
        </w:tc>
        <w:tc>
          <w:tcPr>
            <w:tcW w:w="2318" w:type="dxa"/>
            <w:tcBorders>
              <w:top w:val="nil"/>
              <w:left w:val="nil"/>
              <w:bottom w:val="single" w:color="auto" w:sz="8" w:space="0"/>
              <w:right w:val="single" w:color="auto" w:sz="4" w:space="0"/>
            </w:tcBorders>
            <w:shd w:val="clear" w:color="auto" w:fill="E6F4FF"/>
            <w:tcMar>
              <w:top w:w="0" w:type="dxa"/>
              <w:left w:w="108" w:type="dxa"/>
              <w:bottom w:w="0" w:type="dxa"/>
              <w:right w:w="108" w:type="dxa"/>
            </w:tcMar>
            <w:vAlign w:val="center"/>
          </w:tcPr>
          <w:p>
            <w:pPr>
              <w:spacing w:line="200" w:lineRule="exact"/>
              <w:rPr>
                <w:rFonts w:ascii="楷体" w:hAnsi="楷体" w:eastAsia="楷体" w:cs="宋体"/>
                <w:sz w:val="20"/>
                <w:szCs w:val="20"/>
              </w:rPr>
            </w:pPr>
            <w:r>
              <w:rPr>
                <w:rFonts w:hint="eastAsia" w:ascii="楷体" w:hAnsi="楷体" w:eastAsia="楷体" w:cs="宋体"/>
                <w:sz w:val="20"/>
                <w:szCs w:val="20"/>
              </w:rPr>
              <w:t>2.申请人逾期未按收费通知要求缴纳费用、行政机关不再处理其政府信息公开申请</w:t>
            </w:r>
          </w:p>
        </w:tc>
        <w:tc>
          <w:tcPr>
            <w:tcW w:w="645"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691"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755"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813"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973"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711"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598"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trHeight w:val="109" w:hRule="atLeast"/>
          <w:jc w:val="center"/>
        </w:trPr>
        <w:tc>
          <w:tcPr>
            <w:tcW w:w="681" w:type="dxa"/>
            <w:vMerge w:val="continue"/>
            <w:tcBorders>
              <w:left w:val="single" w:color="auto" w:sz="8" w:space="0"/>
              <w:bottom w:val="single" w:color="auto" w:sz="8" w:space="0"/>
              <w:right w:val="single" w:color="auto" w:sz="8" w:space="0"/>
            </w:tcBorders>
            <w:vAlign w:val="center"/>
          </w:tcPr>
          <w:p>
            <w:pPr>
              <w:spacing w:line="200" w:lineRule="exact"/>
              <w:rPr>
                <w:rFonts w:ascii="楷体" w:hAnsi="楷体" w:eastAsia="楷体" w:cs="宋体"/>
                <w:sz w:val="20"/>
                <w:szCs w:val="20"/>
              </w:rPr>
            </w:pPr>
          </w:p>
        </w:tc>
        <w:tc>
          <w:tcPr>
            <w:tcW w:w="854" w:type="dxa"/>
            <w:vMerge w:val="continue"/>
            <w:tcBorders>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rPr>
                <w:rFonts w:ascii="楷体" w:hAnsi="楷体" w:eastAsia="楷体" w:cs="宋体"/>
                <w:sz w:val="20"/>
                <w:szCs w:val="20"/>
              </w:rPr>
            </w:pPr>
          </w:p>
        </w:tc>
        <w:tc>
          <w:tcPr>
            <w:tcW w:w="2318" w:type="dxa"/>
            <w:tcBorders>
              <w:top w:val="nil"/>
              <w:left w:val="nil"/>
              <w:bottom w:val="single" w:color="auto" w:sz="8" w:space="0"/>
              <w:right w:val="single" w:color="auto" w:sz="4" w:space="0"/>
            </w:tcBorders>
            <w:shd w:val="clear" w:color="auto" w:fill="E6F4FF"/>
            <w:tcMar>
              <w:top w:w="0" w:type="dxa"/>
              <w:left w:w="108" w:type="dxa"/>
              <w:bottom w:w="0" w:type="dxa"/>
              <w:right w:w="108" w:type="dxa"/>
            </w:tcMar>
            <w:vAlign w:val="center"/>
          </w:tcPr>
          <w:p>
            <w:pPr>
              <w:spacing w:line="200" w:lineRule="exact"/>
              <w:rPr>
                <w:rFonts w:ascii="楷体" w:hAnsi="楷体" w:eastAsia="楷体" w:cs="宋体"/>
                <w:sz w:val="20"/>
                <w:szCs w:val="20"/>
              </w:rPr>
            </w:pPr>
            <w:r>
              <w:rPr>
                <w:rFonts w:hint="eastAsia" w:ascii="楷体" w:hAnsi="楷体" w:eastAsia="楷体" w:cs="宋体"/>
                <w:sz w:val="20"/>
                <w:szCs w:val="20"/>
              </w:rPr>
              <w:t>3.其他</w:t>
            </w:r>
          </w:p>
        </w:tc>
        <w:tc>
          <w:tcPr>
            <w:tcW w:w="645"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691"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755"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813"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973"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711"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598" w:type="dxa"/>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r>
      <w:tr>
        <w:tblPrEx>
          <w:tblLayout w:type="fixed"/>
          <w:tblCellMar>
            <w:top w:w="15" w:type="dxa"/>
            <w:left w:w="15" w:type="dxa"/>
            <w:bottom w:w="15" w:type="dxa"/>
            <w:right w:w="15" w:type="dxa"/>
          </w:tblCellMar>
        </w:tblPrEx>
        <w:trPr>
          <w:jc w:val="center"/>
        </w:trPr>
        <w:tc>
          <w:tcPr>
            <w:tcW w:w="681" w:type="dxa"/>
            <w:vMerge w:val="continue"/>
            <w:tcBorders>
              <w:top w:val="nil"/>
              <w:left w:val="single" w:color="auto" w:sz="8" w:space="0"/>
              <w:bottom w:val="single" w:color="auto" w:sz="8" w:space="0"/>
              <w:right w:val="single" w:color="auto" w:sz="8" w:space="0"/>
            </w:tcBorders>
            <w:vAlign w:val="center"/>
          </w:tcPr>
          <w:p>
            <w:pPr>
              <w:spacing w:line="200" w:lineRule="exact"/>
              <w:rPr>
                <w:rFonts w:ascii="宋体" w:hAnsi="宋体" w:eastAsia="宋体" w:cs="宋体"/>
                <w:sz w:val="24"/>
                <w:szCs w:val="24"/>
              </w:rPr>
            </w:pPr>
          </w:p>
        </w:tc>
        <w:tc>
          <w:tcPr>
            <w:tcW w:w="3172"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rPr>
                <w:rFonts w:ascii="宋体" w:hAnsi="宋体" w:eastAsia="宋体" w:cs="宋体"/>
                <w:sz w:val="24"/>
                <w:szCs w:val="24"/>
              </w:rPr>
            </w:pPr>
            <w:r>
              <w:rPr>
                <w:rFonts w:hint="eastAsia" w:ascii="楷体" w:hAnsi="楷体" w:eastAsia="楷体" w:cs="宋体"/>
                <w:sz w:val="20"/>
                <w:szCs w:val="20"/>
              </w:rPr>
              <w:t>（七）总计</w:t>
            </w:r>
          </w:p>
        </w:tc>
        <w:tc>
          <w:tcPr>
            <w:tcW w:w="645" w:type="dxa"/>
            <w:tcBorders>
              <w:top w:val="single" w:color="auto" w:sz="4"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82</w:t>
            </w:r>
          </w:p>
        </w:tc>
        <w:tc>
          <w:tcPr>
            <w:tcW w:w="691" w:type="dxa"/>
            <w:tcBorders>
              <w:top w:val="single" w:color="auto" w:sz="4"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755" w:type="dxa"/>
            <w:tcBorders>
              <w:top w:val="single" w:color="auto" w:sz="4"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813" w:type="dxa"/>
            <w:tcBorders>
              <w:top w:val="single" w:color="auto" w:sz="4"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973" w:type="dxa"/>
            <w:tcBorders>
              <w:top w:val="single" w:color="auto" w:sz="4"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711" w:type="dxa"/>
            <w:tcBorders>
              <w:top w:val="single" w:color="auto" w:sz="4"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598" w:type="dxa"/>
            <w:tcBorders>
              <w:top w:val="single" w:color="auto" w:sz="4"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82</w:t>
            </w:r>
          </w:p>
        </w:tc>
      </w:tr>
      <w:tr>
        <w:tblPrEx>
          <w:tblLayout w:type="fixed"/>
          <w:tblCellMar>
            <w:top w:w="15" w:type="dxa"/>
            <w:left w:w="15" w:type="dxa"/>
            <w:bottom w:w="15" w:type="dxa"/>
            <w:right w:w="15" w:type="dxa"/>
          </w:tblCellMar>
        </w:tblPrEx>
        <w:trPr>
          <w:jc w:val="center"/>
        </w:trPr>
        <w:tc>
          <w:tcPr>
            <w:tcW w:w="3853"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spacing w:line="200" w:lineRule="exact"/>
              <w:rPr>
                <w:rFonts w:ascii="宋体" w:hAnsi="宋体" w:eastAsia="宋体" w:cs="宋体"/>
                <w:sz w:val="24"/>
                <w:szCs w:val="24"/>
              </w:rPr>
            </w:pPr>
            <w:r>
              <w:rPr>
                <w:rFonts w:hint="eastAsia" w:ascii="宋体" w:hAnsi="宋体" w:eastAsia="宋体" w:cs="宋体"/>
                <w:sz w:val="20"/>
                <w:szCs w:val="20"/>
              </w:rPr>
              <w:t>四、结转下年度继续办理</w:t>
            </w:r>
          </w:p>
        </w:tc>
        <w:tc>
          <w:tcPr>
            <w:tcW w:w="6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69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c>
          <w:tcPr>
            <w:tcW w:w="59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ascii="宋体" w:hAnsi="宋体" w:eastAsia="宋体" w:cs="宋体"/>
                <w:sz w:val="24"/>
                <w:szCs w:val="24"/>
              </w:rPr>
              <w:t>0</w:t>
            </w:r>
          </w:p>
        </w:tc>
      </w:tr>
    </w:tbl>
    <w:p>
      <w:pPr>
        <w:widowControl/>
        <w:spacing w:line="52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lang w:eastAsia="zh-CN"/>
        </w:rPr>
        <w:t>四、</w:t>
      </w:r>
      <w:r>
        <w:rPr>
          <w:rFonts w:hint="eastAsia" w:ascii="黑体" w:hAnsi="黑体" w:eastAsia="黑体" w:cs="黑体"/>
          <w:bCs/>
          <w:kern w:val="0"/>
          <w:sz w:val="32"/>
          <w:szCs w:val="32"/>
        </w:rPr>
        <w:t>政府信息公开行政复议、行政诉讼情况</w:t>
      </w:r>
    </w:p>
    <w:tbl>
      <w:tblPr>
        <w:tblStyle w:val="20"/>
        <w:tblW w:w="9071" w:type="dxa"/>
        <w:jc w:val="center"/>
        <w:tblInd w:w="0" w:type="dxa"/>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行政诉讼</w:t>
            </w:r>
          </w:p>
        </w:tc>
      </w:tr>
      <w:tr>
        <w:tblPrEx>
          <w:tblLayout w:type="fixed"/>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复议后起诉</w:t>
            </w:r>
          </w:p>
        </w:tc>
      </w:tr>
      <w:tr>
        <w:tblPrEx>
          <w:tblLayout w:type="fixed"/>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cs="宋体"/>
                <w:sz w:val="24"/>
                <w:szCs w:val="24"/>
              </w:rPr>
            </w:pPr>
          </w:p>
        </w:tc>
        <w:tc>
          <w:tcPr>
            <w:tcW w:w="604" w:type="dxa"/>
            <w:vMerge w:val="continue"/>
            <w:tcBorders>
              <w:top w:val="nil"/>
              <w:left w:val="nil"/>
              <w:bottom w:val="single" w:color="auto" w:sz="8" w:space="0"/>
              <w:right w:val="single" w:color="auto" w:sz="8" w:space="0"/>
            </w:tcBorders>
            <w:vAlign w:val="center"/>
          </w:tcPr>
          <w:p>
            <w:pPr>
              <w:rPr>
                <w:rFonts w:ascii="宋体" w:hAnsi="宋体" w:eastAsia="宋体" w:cs="宋体"/>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rPr>
                <w:rFonts w:ascii="宋体" w:hAnsi="宋体" w:eastAsia="宋体" w:cs="宋体"/>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rPr>
                <w:rFonts w:ascii="宋体" w:hAnsi="宋体" w:eastAsia="宋体" w:cs="宋体"/>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rPr>
                <w:rFonts w:ascii="宋体" w:hAnsi="宋体" w:eastAsia="宋体" w:cs="宋体"/>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宋体" w:hAnsi="宋体" w:eastAsia="宋体" w:cs="宋体"/>
                <w:sz w:val="24"/>
                <w:szCs w:val="24"/>
              </w:rPr>
            </w:pPr>
            <w:r>
              <w:rPr>
                <w:rFonts w:hint="eastAsia" w:ascii="宋体" w:hAnsi="宋体" w:eastAsia="宋体" w:cs="宋体"/>
                <w:sz w:val="20"/>
                <w:szCs w:val="20"/>
              </w:rPr>
              <w:t>总计</w:t>
            </w:r>
          </w:p>
        </w:tc>
      </w:tr>
      <w:tr>
        <w:tblPrEx>
          <w:tblLayout w:type="fixed"/>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Calibri" w:hAnsi="Calibri" w:eastAsia="宋体" w:cs="宋体"/>
                <w:sz w:val="20"/>
                <w:szCs w:val="20"/>
                <w:lang w:eastAsia="zh-CN"/>
              </w:rPr>
            </w:pPr>
            <w:r>
              <w:rPr>
                <w:rFonts w:hint="eastAsia" w:ascii="Calibri" w:hAnsi="Calibri" w:eastAsia="宋体" w:cs="宋体"/>
                <w:sz w:val="20"/>
                <w:szCs w:val="20"/>
                <w:lang w:val="en-US" w:eastAsia="zh-CN"/>
              </w:rPr>
              <w:t>1</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Calibri" w:hAnsi="Calibri" w:eastAsia="宋体" w:cs="宋体"/>
                <w:sz w:val="20"/>
                <w:szCs w:val="20"/>
                <w:lang w:eastAsia="zh-CN"/>
              </w:rPr>
            </w:pPr>
            <w:r>
              <w:rPr>
                <w:rFonts w:hint="eastAsia" w:ascii="Calibri" w:hAnsi="Calibri" w:eastAsia="宋体" w:cs="宋体"/>
                <w:sz w:val="20"/>
                <w:szCs w:val="20"/>
                <w:lang w:val="en-US" w:eastAsia="zh-CN"/>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Calibri" w:hAnsi="Calibri" w:eastAsia="宋体" w:cs="宋体"/>
                <w:sz w:val="20"/>
                <w:szCs w:val="20"/>
                <w:lang w:eastAsia="zh-CN"/>
              </w:rPr>
            </w:pPr>
            <w:r>
              <w:rPr>
                <w:rFonts w:hint="eastAsia" w:ascii="Calibri" w:hAnsi="Calibri" w:eastAsia="宋体" w:cs="宋体"/>
                <w:sz w:val="20"/>
                <w:szCs w:val="20"/>
                <w:lang w:val="en-US" w:eastAsia="zh-CN"/>
              </w:rPr>
              <w:t>1</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Calibri" w:hAnsi="Calibri" w:eastAsia="宋体" w:cs="宋体"/>
                <w:sz w:val="20"/>
                <w:szCs w:val="20"/>
                <w:lang w:eastAsia="zh-CN"/>
              </w:rPr>
            </w:pPr>
            <w:r>
              <w:rPr>
                <w:rFonts w:hint="eastAsia" w:ascii="Calibri" w:hAnsi="Calibri" w:eastAsia="宋体" w:cs="宋体"/>
                <w:sz w:val="20"/>
                <w:szCs w:val="20"/>
                <w:lang w:val="en-US" w:eastAsia="zh-CN"/>
              </w:rPr>
              <w:t>1</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Calibri" w:hAnsi="Calibri" w:eastAsia="宋体" w:cs="宋体"/>
                <w:sz w:val="20"/>
                <w:szCs w:val="20"/>
                <w:lang w:eastAsia="zh-CN"/>
              </w:rPr>
            </w:pPr>
            <w:r>
              <w:rPr>
                <w:rFonts w:hint="eastAsia" w:ascii="Calibri" w:hAnsi="Calibri" w:eastAsia="宋体" w:cs="宋体"/>
                <w:sz w:val="20"/>
                <w:szCs w:val="20"/>
                <w:lang w:val="en-US" w:eastAsia="zh-CN"/>
              </w:rPr>
              <w:t>3</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Calibri" w:hAnsi="Calibri" w:eastAsia="宋体" w:cs="宋体"/>
                <w:sz w:val="20"/>
                <w:szCs w:val="20"/>
                <w:lang w:eastAsia="zh-CN"/>
              </w:rPr>
            </w:pPr>
            <w:r>
              <w:rPr>
                <w:rFonts w:hint="eastAsia" w:ascii="Calibri" w:hAnsi="Calibri" w:eastAsia="宋体" w:cs="宋体"/>
                <w:sz w:val="20"/>
                <w:szCs w:val="20"/>
                <w:lang w:val="en-US" w:eastAsia="zh-CN"/>
              </w:rPr>
              <w:t>1</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Calibri" w:hAnsi="Calibri" w:eastAsia="宋体" w:cs="宋体"/>
                <w:sz w:val="20"/>
                <w:szCs w:val="20"/>
                <w:lang w:eastAsia="zh-CN"/>
              </w:rPr>
            </w:pPr>
            <w:r>
              <w:rPr>
                <w:rFonts w:hint="eastAsia" w:ascii="Calibri" w:hAnsi="Calibri" w:eastAsia="宋体" w:cs="宋体"/>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Calibri" w:hAnsi="Calibri" w:eastAsia="宋体" w:cs="宋体"/>
                <w:sz w:val="20"/>
                <w:szCs w:val="20"/>
                <w:lang w:eastAsia="zh-CN"/>
              </w:rPr>
            </w:pPr>
            <w:r>
              <w:rPr>
                <w:rFonts w:hint="eastAsia" w:ascii="Calibri" w:hAnsi="Calibri" w:eastAsia="宋体" w:cs="宋体"/>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Calibri" w:hAnsi="Calibri" w:eastAsia="宋体" w:cs="宋体"/>
                <w:sz w:val="20"/>
                <w:szCs w:val="20"/>
                <w:lang w:eastAsia="zh-CN"/>
              </w:rPr>
            </w:pPr>
            <w:r>
              <w:rPr>
                <w:rFonts w:hint="eastAsia" w:ascii="Calibri" w:hAnsi="Calibri" w:eastAsia="宋体" w:cs="宋体"/>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Calibri" w:hAnsi="Calibri" w:eastAsia="宋体" w:cs="宋体"/>
                <w:sz w:val="20"/>
                <w:szCs w:val="20"/>
                <w:lang w:eastAsia="zh-CN"/>
              </w:rPr>
            </w:pPr>
            <w:r>
              <w:rPr>
                <w:rFonts w:hint="eastAsia" w:ascii="Calibri" w:hAnsi="Calibri" w:eastAsia="宋体" w:cs="宋体"/>
                <w:sz w:val="20"/>
                <w:szCs w:val="20"/>
                <w:lang w:val="en-US" w:eastAsia="zh-CN"/>
              </w:rPr>
              <w:t>1</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Calibri" w:hAnsi="Calibri" w:eastAsia="宋体" w:cs="宋体"/>
                <w:sz w:val="20"/>
                <w:szCs w:val="20"/>
                <w:lang w:eastAsia="zh-CN"/>
              </w:rPr>
            </w:pPr>
            <w:r>
              <w:rPr>
                <w:rFonts w:hint="eastAsia" w:ascii="Calibri" w:hAnsi="Calibri" w:eastAsia="宋体" w:cs="宋体"/>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sz w:val="20"/>
                <w:szCs w:val="20"/>
              </w:rPr>
            </w:pPr>
            <w:r>
              <w:rPr>
                <w:rFonts w:ascii="Calibri" w:hAnsi="Calibri" w:eastAsia="宋体" w:cs="宋体"/>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Calibri" w:hAnsi="Calibri" w:eastAsia="宋体" w:cs="宋体"/>
                <w:sz w:val="20"/>
                <w:szCs w:val="20"/>
                <w:lang w:eastAsia="zh-CN"/>
              </w:rPr>
            </w:pPr>
            <w:r>
              <w:rPr>
                <w:rFonts w:hint="eastAsia" w:ascii="Calibri" w:hAnsi="Calibri" w:eastAsia="宋体" w:cs="宋体"/>
                <w:sz w:val="20"/>
                <w:szCs w:val="20"/>
                <w:lang w:val="en-US" w:eastAsia="zh-CN"/>
              </w:rPr>
              <w:t>1</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hint="eastAsia" w:ascii="Calibri" w:hAnsi="Calibri" w:eastAsia="宋体" w:cs="宋体"/>
                <w:sz w:val="20"/>
                <w:szCs w:val="20"/>
                <w:lang w:eastAsia="zh-CN"/>
              </w:rPr>
            </w:pPr>
            <w:r>
              <w:rPr>
                <w:rFonts w:hint="eastAsia" w:ascii="Calibri" w:hAnsi="Calibri" w:eastAsia="宋体" w:cs="宋体"/>
                <w:sz w:val="20"/>
                <w:szCs w:val="20"/>
                <w:lang w:val="en-US" w:eastAsia="zh-CN"/>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rPr>
                <w:rFonts w:ascii="Calibri" w:hAnsi="Calibri" w:eastAsia="宋体" w:cs="宋体"/>
                <w:sz w:val="20"/>
                <w:szCs w:val="20"/>
              </w:rPr>
            </w:pPr>
            <w:r>
              <w:rPr>
                <w:rFonts w:hint="eastAsia" w:ascii="Calibri" w:hAnsi="Calibri" w:eastAsia="宋体" w:cs="宋体"/>
                <w:sz w:val="20"/>
                <w:szCs w:val="20"/>
                <w:lang w:val="en-US" w:eastAsia="zh-CN"/>
              </w:rPr>
              <w:t>1</w:t>
            </w:r>
          </w:p>
        </w:tc>
      </w:tr>
    </w:tbl>
    <w:p>
      <w:pPr>
        <w:pStyle w:val="8"/>
        <w:numPr>
          <w:ilvl w:val="0"/>
          <w:numId w:val="0"/>
        </w:numPr>
        <w:spacing w:before="0" w:beforeAutospacing="0" w:after="0" w:afterAutospacing="0" w:line="520" w:lineRule="exact"/>
        <w:ind w:firstLine="640" w:firstLineChars="200"/>
        <w:rPr>
          <w:rFonts w:hint="eastAsia" w:ascii="黑体" w:hAnsi="黑体" w:eastAsia="黑体" w:cs="黑体"/>
          <w:bCs/>
          <w:sz w:val="32"/>
          <w:szCs w:val="32"/>
          <w:lang w:eastAsia="zh-CN"/>
        </w:rPr>
      </w:pPr>
    </w:p>
    <w:p>
      <w:pPr>
        <w:pStyle w:val="8"/>
        <w:numPr>
          <w:ilvl w:val="0"/>
          <w:numId w:val="0"/>
        </w:numPr>
        <w:spacing w:before="0" w:beforeAutospacing="0" w:after="0" w:afterAutospacing="0" w:line="520" w:lineRule="exac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存在的主要问题及改进情况</w:t>
      </w:r>
    </w:p>
    <w:p>
      <w:pPr>
        <w:pStyle w:val="8"/>
        <w:numPr>
          <w:ilvl w:val="0"/>
          <w:numId w:val="0"/>
        </w:numPr>
        <w:spacing w:before="0" w:beforeAutospacing="0" w:after="0" w:afterAutospacing="0" w:line="520" w:lineRule="exact"/>
        <w:ind w:firstLine="640" w:firstLineChars="200"/>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color w:val="auto"/>
          <w:kern w:val="2"/>
          <w:sz w:val="32"/>
          <w:szCs w:val="32"/>
          <w:shd w:val="clear" w:color="auto" w:fill="FFFFFF"/>
          <w:lang w:val="en-US" w:eastAsia="zh-CN" w:bidi="ar"/>
        </w:rPr>
        <w:t>我市政府信息公开工作虽然取得了一定的成绩,但与上级的要求与公众的期盼还有一定差距，主要问题是：政务公开涵盖各地各单位内绝大部分业务</w:t>
      </w:r>
      <w:bookmarkStart w:id="1" w:name="_GoBack"/>
      <w:bookmarkEnd w:id="1"/>
      <w:r>
        <w:rPr>
          <w:rFonts w:hint="eastAsia" w:ascii="仿宋_GB2312" w:hAnsi="仿宋_GB2312" w:eastAsia="仿宋_GB2312" w:cs="仿宋_GB2312"/>
          <w:color w:val="auto"/>
          <w:kern w:val="2"/>
          <w:sz w:val="32"/>
          <w:szCs w:val="32"/>
          <w:shd w:val="clear" w:color="auto" w:fill="FFFFFF"/>
          <w:lang w:val="en-US" w:eastAsia="zh-CN" w:bidi="ar"/>
        </w:rPr>
        <w:t>科室工作，各单位主要领导虽然重视，但只有负责政务公开的科室人员和分管领导能够懂得政务公开工作要求，其他配合的业务科室工作认识不足，未能形成工作合力。下一步,我市将从以下几个方面加强改进：</w:t>
      </w:r>
    </w:p>
    <w:p>
      <w:pPr>
        <w:pStyle w:val="8"/>
        <w:numPr>
          <w:ilvl w:val="0"/>
          <w:numId w:val="0"/>
        </w:numPr>
        <w:spacing w:before="0" w:beforeAutospacing="0" w:after="0" w:afterAutospacing="0" w:line="520" w:lineRule="exact"/>
        <w:ind w:firstLine="640" w:firstLineChars="200"/>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color w:val="auto"/>
          <w:kern w:val="2"/>
          <w:sz w:val="32"/>
          <w:szCs w:val="32"/>
          <w:shd w:val="clear" w:color="auto" w:fill="FFFFFF"/>
          <w:lang w:val="en-US" w:eastAsia="zh-CN" w:bidi="ar"/>
        </w:rPr>
        <w:t>一是加强业务学习和培训。把政府信息公开条例作为落实领导干部学法制度的重要内容，列入领导干部和公务员培训课程，不断提升各级各类公务员的公开意识和能力。加强对基层一线政策执行人员开展政策解读和培训，增强培训计划性、系统性，科学设置培训课程，提升培训效果，切实提升工作能力和水平。</w:t>
      </w:r>
    </w:p>
    <w:p>
      <w:pPr>
        <w:pStyle w:val="8"/>
        <w:numPr>
          <w:ilvl w:val="0"/>
          <w:numId w:val="0"/>
        </w:numPr>
        <w:spacing w:before="0" w:beforeAutospacing="0" w:after="0" w:afterAutospacing="0" w:line="520" w:lineRule="exact"/>
        <w:ind w:firstLine="640" w:firstLineChars="200"/>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color w:val="auto"/>
          <w:kern w:val="2"/>
          <w:sz w:val="32"/>
          <w:szCs w:val="32"/>
          <w:shd w:val="clear" w:color="auto" w:fill="FFFFFF"/>
          <w:lang w:val="en-US" w:eastAsia="zh-CN" w:bidi="ar"/>
        </w:rPr>
        <w:t>二是积极推进“五公开”。按照国家和省、宜春市关于政务公开工作的有关部署要求，加强政策解读和回应关切。进一步完善教育、医疗、养老、生态环境保护和食品药品安全等与群众切身利益密切相关领域的信息公开工作。</w:t>
      </w:r>
    </w:p>
    <w:p>
      <w:pPr>
        <w:pStyle w:val="8"/>
        <w:numPr>
          <w:ilvl w:val="0"/>
          <w:numId w:val="0"/>
        </w:numPr>
        <w:spacing w:before="0" w:beforeAutospacing="0" w:after="0" w:afterAutospacing="0" w:line="520" w:lineRule="exact"/>
        <w:ind w:firstLine="640" w:firstLineChars="200"/>
        <w:rPr>
          <w:rFonts w:hint="eastAsia" w:ascii="黑体" w:hAnsi="黑体" w:eastAsia="黑体" w:cs="黑体"/>
          <w:bCs/>
          <w:sz w:val="32"/>
          <w:szCs w:val="32"/>
          <w:lang w:eastAsia="zh-CN"/>
        </w:rPr>
      </w:pPr>
      <w:r>
        <w:rPr>
          <w:rFonts w:hint="eastAsia" w:ascii="仿宋_GB2312" w:hAnsi="仿宋_GB2312" w:eastAsia="仿宋_GB2312" w:cs="仿宋_GB2312"/>
          <w:color w:val="auto"/>
          <w:kern w:val="2"/>
          <w:sz w:val="32"/>
          <w:szCs w:val="32"/>
          <w:shd w:val="clear" w:color="auto" w:fill="FFFFFF"/>
          <w:lang w:val="en-US" w:eastAsia="zh-CN" w:bidi="ar"/>
        </w:rPr>
        <w:t>三是进一步推动基层政务公开标准化工作向村社区延伸。坚持把政务公开工作与线下建设相结合，推动村社区基层政务公开工作，充分保障群众知情权，同时，结合本地实际改造线下政务公开专区，积极申报全省“十县百乡”示范点。</w:t>
      </w:r>
    </w:p>
    <w:p>
      <w:pPr>
        <w:pStyle w:val="8"/>
        <w:numPr>
          <w:ilvl w:val="0"/>
          <w:numId w:val="0"/>
        </w:numPr>
        <w:spacing w:before="0" w:beforeAutospacing="0" w:after="0" w:afterAutospacing="0" w:line="520" w:lineRule="exac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六、</w:t>
      </w:r>
      <w:r>
        <w:rPr>
          <w:rFonts w:hint="eastAsia" w:ascii="黑体" w:hAnsi="黑体" w:eastAsia="黑体" w:cs="黑体"/>
          <w:bCs/>
          <w:sz w:val="32"/>
          <w:szCs w:val="32"/>
        </w:rPr>
        <w:t>其他需要报告的事项</w:t>
      </w:r>
    </w:p>
    <w:p>
      <w:pPr>
        <w:overflowPunct w:val="0"/>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严格按照国务院办公厅《政府信息公开信息处理费管理办法》（国办函〔2020〕109号）执行，信息处理费按照超额累进方式计算收费金额，采取按件计收或按量计收方式，2021年我</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信息处理费收费情况为零。</w:t>
      </w:r>
    </w:p>
    <w:bookmarkEnd w:id="0"/>
    <w:p>
      <w:pPr>
        <w:overflowPunct w:val="0"/>
        <w:spacing w:line="520" w:lineRule="exact"/>
        <w:ind w:firstLine="420" w:firstLineChars="200"/>
        <w:rPr>
          <w:rFonts w:ascii="黑体" w:hAnsi="黑体" w:eastAsia="黑体" w:cs="宋体"/>
          <w:bCs/>
          <w:color w:val="000000"/>
          <w:kern w:val="0"/>
          <w:szCs w:val="32"/>
        </w:rPr>
      </w:pPr>
    </w:p>
    <w:sectPr>
      <w:footerReference r:id="rId3" w:type="default"/>
      <w:pgSz w:w="11906" w:h="16838"/>
      <w:pgMar w:top="1985" w:right="1805" w:bottom="1985"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ourceHanSansCN-Regular">
    <w:altName w:val="Segoe Print"/>
    <w:panose1 w:val="00000000000000000000"/>
    <w:charset w:val="00"/>
    <w:family w:val="auto"/>
    <w:pitch w:val="default"/>
    <w:sig w:usb0="00000000" w:usb1="00000000" w:usb2="00000000" w:usb3="00000000" w:csb0="00000000" w:csb1="00000000"/>
  </w:font>
  <w:font w:name="SourceHanSansCN-Medium">
    <w:altName w:val="Segoe Print"/>
    <w:panose1 w:val="00000000000000000000"/>
    <w:charset w:val="00"/>
    <w:family w:val="auto"/>
    <w:pitch w:val="default"/>
    <w:sig w:usb0="00000000" w:usb1="00000000" w:usb2="00000000" w:usb3="00000000" w:csb0="00000000" w:csb1="00000000"/>
  </w:font>
  <w:font w:name="SourceHanSansCN-Bold">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7AEBB9"/>
    <w:multiLevelType w:val="singleLevel"/>
    <w:tmpl w:val="F17AEB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3E"/>
    <w:rsid w:val="0000067E"/>
    <w:rsid w:val="0000765A"/>
    <w:rsid w:val="00020D76"/>
    <w:rsid w:val="00024EB3"/>
    <w:rsid w:val="00026EAE"/>
    <w:rsid w:val="0003119A"/>
    <w:rsid w:val="000314B0"/>
    <w:rsid w:val="0003261C"/>
    <w:rsid w:val="00034FAE"/>
    <w:rsid w:val="000515C5"/>
    <w:rsid w:val="000633B4"/>
    <w:rsid w:val="0008674D"/>
    <w:rsid w:val="00096BE1"/>
    <w:rsid w:val="000A481D"/>
    <w:rsid w:val="000B5A1B"/>
    <w:rsid w:val="000C011B"/>
    <w:rsid w:val="000C0B12"/>
    <w:rsid w:val="0010617F"/>
    <w:rsid w:val="00107A93"/>
    <w:rsid w:val="001231BD"/>
    <w:rsid w:val="00147623"/>
    <w:rsid w:val="00154CEE"/>
    <w:rsid w:val="00172B03"/>
    <w:rsid w:val="00174A6C"/>
    <w:rsid w:val="001831DF"/>
    <w:rsid w:val="001859DD"/>
    <w:rsid w:val="00186550"/>
    <w:rsid w:val="001A3C8F"/>
    <w:rsid w:val="001A6C6A"/>
    <w:rsid w:val="001C1A1E"/>
    <w:rsid w:val="001C2C3E"/>
    <w:rsid w:val="001C6E6D"/>
    <w:rsid w:val="001C7375"/>
    <w:rsid w:val="001F5099"/>
    <w:rsid w:val="00230AA9"/>
    <w:rsid w:val="0024309F"/>
    <w:rsid w:val="00254008"/>
    <w:rsid w:val="00256BF9"/>
    <w:rsid w:val="00257153"/>
    <w:rsid w:val="00277088"/>
    <w:rsid w:val="002B2969"/>
    <w:rsid w:val="002B63A3"/>
    <w:rsid w:val="002B7AB0"/>
    <w:rsid w:val="002B7E36"/>
    <w:rsid w:val="002C0E58"/>
    <w:rsid w:val="00302EDB"/>
    <w:rsid w:val="003043FE"/>
    <w:rsid w:val="00304F5D"/>
    <w:rsid w:val="00322C9B"/>
    <w:rsid w:val="00323366"/>
    <w:rsid w:val="00341D14"/>
    <w:rsid w:val="003531B0"/>
    <w:rsid w:val="003573BB"/>
    <w:rsid w:val="003577A2"/>
    <w:rsid w:val="0036071D"/>
    <w:rsid w:val="00367F63"/>
    <w:rsid w:val="003808CE"/>
    <w:rsid w:val="00380CAB"/>
    <w:rsid w:val="00383697"/>
    <w:rsid w:val="0038666B"/>
    <w:rsid w:val="003C6565"/>
    <w:rsid w:val="003E01F1"/>
    <w:rsid w:val="003E2C54"/>
    <w:rsid w:val="003F48F9"/>
    <w:rsid w:val="00407044"/>
    <w:rsid w:val="00413FF3"/>
    <w:rsid w:val="00423B7B"/>
    <w:rsid w:val="00437EE9"/>
    <w:rsid w:val="004610F1"/>
    <w:rsid w:val="00463CA6"/>
    <w:rsid w:val="0047640E"/>
    <w:rsid w:val="004B5F4F"/>
    <w:rsid w:val="004C2453"/>
    <w:rsid w:val="004C51CD"/>
    <w:rsid w:val="004E7C17"/>
    <w:rsid w:val="004F14CA"/>
    <w:rsid w:val="0050283A"/>
    <w:rsid w:val="00502EAB"/>
    <w:rsid w:val="005032D8"/>
    <w:rsid w:val="005045C6"/>
    <w:rsid w:val="005059B8"/>
    <w:rsid w:val="0050628C"/>
    <w:rsid w:val="00555862"/>
    <w:rsid w:val="0058399A"/>
    <w:rsid w:val="0059114F"/>
    <w:rsid w:val="00593462"/>
    <w:rsid w:val="005A2365"/>
    <w:rsid w:val="005A51BA"/>
    <w:rsid w:val="005A65DF"/>
    <w:rsid w:val="005B049F"/>
    <w:rsid w:val="005E548C"/>
    <w:rsid w:val="005F57F5"/>
    <w:rsid w:val="00606A16"/>
    <w:rsid w:val="006108AC"/>
    <w:rsid w:val="00611102"/>
    <w:rsid w:val="00623670"/>
    <w:rsid w:val="00630542"/>
    <w:rsid w:val="00632764"/>
    <w:rsid w:val="00641700"/>
    <w:rsid w:val="00641ECF"/>
    <w:rsid w:val="00647EC0"/>
    <w:rsid w:val="006507E3"/>
    <w:rsid w:val="00671F25"/>
    <w:rsid w:val="00681680"/>
    <w:rsid w:val="006A424B"/>
    <w:rsid w:val="006B5FEE"/>
    <w:rsid w:val="006C7163"/>
    <w:rsid w:val="006D115B"/>
    <w:rsid w:val="006F63CA"/>
    <w:rsid w:val="00715FFD"/>
    <w:rsid w:val="0071799C"/>
    <w:rsid w:val="00724AB7"/>
    <w:rsid w:val="007455D7"/>
    <w:rsid w:val="0077346E"/>
    <w:rsid w:val="007870D2"/>
    <w:rsid w:val="0079373E"/>
    <w:rsid w:val="007A0751"/>
    <w:rsid w:val="007A572F"/>
    <w:rsid w:val="007A5EA4"/>
    <w:rsid w:val="007B2F43"/>
    <w:rsid w:val="008060D3"/>
    <w:rsid w:val="0080619B"/>
    <w:rsid w:val="00806D65"/>
    <w:rsid w:val="00817E0F"/>
    <w:rsid w:val="00823D01"/>
    <w:rsid w:val="00850B1D"/>
    <w:rsid w:val="00853674"/>
    <w:rsid w:val="00876E55"/>
    <w:rsid w:val="008A3A5F"/>
    <w:rsid w:val="008D7F74"/>
    <w:rsid w:val="008F1E36"/>
    <w:rsid w:val="008F7817"/>
    <w:rsid w:val="00907634"/>
    <w:rsid w:val="00935E91"/>
    <w:rsid w:val="0094170F"/>
    <w:rsid w:val="0095342B"/>
    <w:rsid w:val="0097104A"/>
    <w:rsid w:val="00981476"/>
    <w:rsid w:val="009A05FB"/>
    <w:rsid w:val="009A0BD8"/>
    <w:rsid w:val="009A5A2A"/>
    <w:rsid w:val="009A66FC"/>
    <w:rsid w:val="009B739E"/>
    <w:rsid w:val="009C3FA5"/>
    <w:rsid w:val="009C759C"/>
    <w:rsid w:val="009C7AC8"/>
    <w:rsid w:val="009F4CCA"/>
    <w:rsid w:val="00A50ADB"/>
    <w:rsid w:val="00A55725"/>
    <w:rsid w:val="00A859D6"/>
    <w:rsid w:val="00AB4EF9"/>
    <w:rsid w:val="00AC04E5"/>
    <w:rsid w:val="00AD25D7"/>
    <w:rsid w:val="00AD6116"/>
    <w:rsid w:val="00AF1EF3"/>
    <w:rsid w:val="00B1056D"/>
    <w:rsid w:val="00B1642C"/>
    <w:rsid w:val="00B216A5"/>
    <w:rsid w:val="00B318AA"/>
    <w:rsid w:val="00B319DD"/>
    <w:rsid w:val="00B3411C"/>
    <w:rsid w:val="00B45FBC"/>
    <w:rsid w:val="00B463A4"/>
    <w:rsid w:val="00B54878"/>
    <w:rsid w:val="00B614C7"/>
    <w:rsid w:val="00B75080"/>
    <w:rsid w:val="00B903C1"/>
    <w:rsid w:val="00B912F6"/>
    <w:rsid w:val="00BA3287"/>
    <w:rsid w:val="00BB2F44"/>
    <w:rsid w:val="00BB3735"/>
    <w:rsid w:val="00BF5752"/>
    <w:rsid w:val="00C274B2"/>
    <w:rsid w:val="00C379FD"/>
    <w:rsid w:val="00C67A6C"/>
    <w:rsid w:val="00C82823"/>
    <w:rsid w:val="00C94A59"/>
    <w:rsid w:val="00C95E91"/>
    <w:rsid w:val="00C96B7C"/>
    <w:rsid w:val="00CF1505"/>
    <w:rsid w:val="00D07FA7"/>
    <w:rsid w:val="00D25D84"/>
    <w:rsid w:val="00D344D3"/>
    <w:rsid w:val="00D44CA0"/>
    <w:rsid w:val="00D547E3"/>
    <w:rsid w:val="00D6092E"/>
    <w:rsid w:val="00D74AFD"/>
    <w:rsid w:val="00D74D48"/>
    <w:rsid w:val="00D841C0"/>
    <w:rsid w:val="00D949B0"/>
    <w:rsid w:val="00DB4544"/>
    <w:rsid w:val="00DB60F1"/>
    <w:rsid w:val="00DD1FAD"/>
    <w:rsid w:val="00E00B91"/>
    <w:rsid w:val="00E036C0"/>
    <w:rsid w:val="00E04D8E"/>
    <w:rsid w:val="00E102A3"/>
    <w:rsid w:val="00E31230"/>
    <w:rsid w:val="00E57777"/>
    <w:rsid w:val="00E6719D"/>
    <w:rsid w:val="00E709AB"/>
    <w:rsid w:val="00EB3A2B"/>
    <w:rsid w:val="00EB4278"/>
    <w:rsid w:val="00EE69D7"/>
    <w:rsid w:val="00F027FA"/>
    <w:rsid w:val="00F12A6A"/>
    <w:rsid w:val="00F231D1"/>
    <w:rsid w:val="00F42A02"/>
    <w:rsid w:val="00F47D0D"/>
    <w:rsid w:val="00F5362B"/>
    <w:rsid w:val="00F61624"/>
    <w:rsid w:val="00F7445F"/>
    <w:rsid w:val="00FA2637"/>
    <w:rsid w:val="00FC134E"/>
    <w:rsid w:val="00FC20E8"/>
    <w:rsid w:val="00FD70E9"/>
    <w:rsid w:val="00FD75DB"/>
    <w:rsid w:val="00FE3C4B"/>
    <w:rsid w:val="00FE6A22"/>
    <w:rsid w:val="010B0406"/>
    <w:rsid w:val="01D56D22"/>
    <w:rsid w:val="031442EE"/>
    <w:rsid w:val="03714873"/>
    <w:rsid w:val="04A919D7"/>
    <w:rsid w:val="055D00B1"/>
    <w:rsid w:val="0594022D"/>
    <w:rsid w:val="05BB66CE"/>
    <w:rsid w:val="05CD604B"/>
    <w:rsid w:val="05DD595B"/>
    <w:rsid w:val="06191393"/>
    <w:rsid w:val="06AE0279"/>
    <w:rsid w:val="08D16D91"/>
    <w:rsid w:val="0A477DD2"/>
    <w:rsid w:val="0C4147F8"/>
    <w:rsid w:val="0CCF6EC1"/>
    <w:rsid w:val="0F242EBB"/>
    <w:rsid w:val="105A46BB"/>
    <w:rsid w:val="11162CD7"/>
    <w:rsid w:val="118860CD"/>
    <w:rsid w:val="12601FEE"/>
    <w:rsid w:val="12863708"/>
    <w:rsid w:val="129621A6"/>
    <w:rsid w:val="12BF52CA"/>
    <w:rsid w:val="148235D2"/>
    <w:rsid w:val="168A5825"/>
    <w:rsid w:val="1A1D1A7F"/>
    <w:rsid w:val="1A29196B"/>
    <w:rsid w:val="1AF2441A"/>
    <w:rsid w:val="1B8951B1"/>
    <w:rsid w:val="1B99316E"/>
    <w:rsid w:val="1C7C4C03"/>
    <w:rsid w:val="1D00568E"/>
    <w:rsid w:val="1E250A39"/>
    <w:rsid w:val="1E7E7C06"/>
    <w:rsid w:val="1F49071C"/>
    <w:rsid w:val="1F6257C3"/>
    <w:rsid w:val="1FBC1625"/>
    <w:rsid w:val="1FD660B1"/>
    <w:rsid w:val="2140359B"/>
    <w:rsid w:val="224D34C4"/>
    <w:rsid w:val="2296067F"/>
    <w:rsid w:val="23485928"/>
    <w:rsid w:val="2421762C"/>
    <w:rsid w:val="24FF546A"/>
    <w:rsid w:val="26AD580F"/>
    <w:rsid w:val="27333E73"/>
    <w:rsid w:val="27DC68CD"/>
    <w:rsid w:val="29122D8F"/>
    <w:rsid w:val="29CC6CEF"/>
    <w:rsid w:val="2AAB57B8"/>
    <w:rsid w:val="2AAF2614"/>
    <w:rsid w:val="2C486CA2"/>
    <w:rsid w:val="2C8E3C1A"/>
    <w:rsid w:val="2D1D34CE"/>
    <w:rsid w:val="2E2F6152"/>
    <w:rsid w:val="2EFD13C4"/>
    <w:rsid w:val="2FC35418"/>
    <w:rsid w:val="30EA2E66"/>
    <w:rsid w:val="318C1BE0"/>
    <w:rsid w:val="324D459E"/>
    <w:rsid w:val="3270586A"/>
    <w:rsid w:val="329A2602"/>
    <w:rsid w:val="346930BE"/>
    <w:rsid w:val="3517098F"/>
    <w:rsid w:val="36601025"/>
    <w:rsid w:val="367E1D2D"/>
    <w:rsid w:val="36C36AAD"/>
    <w:rsid w:val="37FD05FA"/>
    <w:rsid w:val="396B4292"/>
    <w:rsid w:val="3BF7D337"/>
    <w:rsid w:val="3DB40EAA"/>
    <w:rsid w:val="3E8E6011"/>
    <w:rsid w:val="3EA17B16"/>
    <w:rsid w:val="3FDB2D03"/>
    <w:rsid w:val="4051439C"/>
    <w:rsid w:val="41550518"/>
    <w:rsid w:val="456E6B7C"/>
    <w:rsid w:val="47892306"/>
    <w:rsid w:val="47BE73FC"/>
    <w:rsid w:val="48DF6C37"/>
    <w:rsid w:val="49E2733E"/>
    <w:rsid w:val="4C0E2162"/>
    <w:rsid w:val="4C954416"/>
    <w:rsid w:val="4E1C7F6A"/>
    <w:rsid w:val="4E404B3A"/>
    <w:rsid w:val="4F7D37EA"/>
    <w:rsid w:val="50823830"/>
    <w:rsid w:val="5216614E"/>
    <w:rsid w:val="53D63096"/>
    <w:rsid w:val="54560259"/>
    <w:rsid w:val="54C22B88"/>
    <w:rsid w:val="54EA61EA"/>
    <w:rsid w:val="55456C45"/>
    <w:rsid w:val="55632EE1"/>
    <w:rsid w:val="57004F50"/>
    <w:rsid w:val="58390766"/>
    <w:rsid w:val="58705B60"/>
    <w:rsid w:val="58E370E6"/>
    <w:rsid w:val="59AE5586"/>
    <w:rsid w:val="59E531C8"/>
    <w:rsid w:val="5A78253E"/>
    <w:rsid w:val="5B546D9F"/>
    <w:rsid w:val="5B56709B"/>
    <w:rsid w:val="5BA01DCF"/>
    <w:rsid w:val="5BF53F40"/>
    <w:rsid w:val="5F271F28"/>
    <w:rsid w:val="5FFB734F"/>
    <w:rsid w:val="5FFF0910"/>
    <w:rsid w:val="63AE10C8"/>
    <w:rsid w:val="64504D2E"/>
    <w:rsid w:val="662E76DF"/>
    <w:rsid w:val="69764F8E"/>
    <w:rsid w:val="6A480F05"/>
    <w:rsid w:val="6B3C275D"/>
    <w:rsid w:val="6BAD6F8C"/>
    <w:rsid w:val="6CAA015B"/>
    <w:rsid w:val="6CC81E1C"/>
    <w:rsid w:val="6D43660A"/>
    <w:rsid w:val="6D443AC8"/>
    <w:rsid w:val="6DD32663"/>
    <w:rsid w:val="6DFFA0F9"/>
    <w:rsid w:val="6E3F7DB5"/>
    <w:rsid w:val="6EDFB5AA"/>
    <w:rsid w:val="6F8D4C8B"/>
    <w:rsid w:val="6FB43AD4"/>
    <w:rsid w:val="6FECDB78"/>
    <w:rsid w:val="7161334E"/>
    <w:rsid w:val="71F3559E"/>
    <w:rsid w:val="724129E6"/>
    <w:rsid w:val="73C555B9"/>
    <w:rsid w:val="74B51A1C"/>
    <w:rsid w:val="74B5391F"/>
    <w:rsid w:val="768C1D00"/>
    <w:rsid w:val="76944925"/>
    <w:rsid w:val="771A156C"/>
    <w:rsid w:val="775D0FBE"/>
    <w:rsid w:val="77EE53E3"/>
    <w:rsid w:val="787622C3"/>
    <w:rsid w:val="78887F0B"/>
    <w:rsid w:val="78AE73E9"/>
    <w:rsid w:val="7A123398"/>
    <w:rsid w:val="7ACD3B7C"/>
    <w:rsid w:val="7B3FAEB5"/>
    <w:rsid w:val="7C135208"/>
    <w:rsid w:val="7C1A324C"/>
    <w:rsid w:val="7D78D115"/>
    <w:rsid w:val="7E893D99"/>
    <w:rsid w:val="7F4412B7"/>
    <w:rsid w:val="7FA6BD6F"/>
    <w:rsid w:val="7FFF5A9A"/>
    <w:rsid w:val="ADFF85C8"/>
    <w:rsid w:val="B27FD65F"/>
    <w:rsid w:val="BFECBC73"/>
    <w:rsid w:val="D4FFEE95"/>
    <w:rsid w:val="DA5F3607"/>
    <w:rsid w:val="DD786C0B"/>
    <w:rsid w:val="DDFFB40F"/>
    <w:rsid w:val="DFF79E5A"/>
    <w:rsid w:val="E7A7E22C"/>
    <w:rsid w:val="EF742109"/>
    <w:rsid w:val="F35DBB11"/>
    <w:rsid w:val="F6DF5547"/>
    <w:rsid w:val="FA7F246E"/>
    <w:rsid w:val="FBBF921F"/>
    <w:rsid w:val="FDBF3D4D"/>
    <w:rsid w:val="FE77726C"/>
    <w:rsid w:val="FEAFB868"/>
    <w:rsid w:val="FFBF5FE7"/>
    <w:rsid w:val="FFD62A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ind w:left="420" w:leftChars="200"/>
    </w:pPr>
  </w:style>
  <w:style w:type="paragraph" w:styleId="4">
    <w:name w:val="Date"/>
    <w:basedOn w:val="1"/>
    <w:next w:val="1"/>
    <w:link w:val="24"/>
    <w:unhideWhenUsed/>
    <w:qFormat/>
    <w:uiPriority w:val="99"/>
    <w:pPr>
      <w:ind w:left="100" w:leftChars="2500"/>
    </w:p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FollowedHyperlink"/>
    <w:basedOn w:val="9"/>
    <w:unhideWhenUsed/>
    <w:qFormat/>
    <w:uiPriority w:val="99"/>
    <w:rPr>
      <w:color w:val="800080"/>
      <w:u w:val="none"/>
    </w:rPr>
  </w:style>
  <w:style w:type="character" w:styleId="11">
    <w:name w:val="HTML Definition"/>
    <w:basedOn w:val="9"/>
    <w:unhideWhenUsed/>
    <w:qFormat/>
    <w:uiPriority w:val="99"/>
  </w:style>
  <w:style w:type="character" w:styleId="12">
    <w:name w:val="HTML Typewriter"/>
    <w:basedOn w:val="9"/>
    <w:unhideWhenUsed/>
    <w:qFormat/>
    <w:uiPriority w:val="99"/>
    <w:rPr>
      <w:rFonts w:hint="default" w:ascii="monospace" w:hAnsi="monospace" w:eastAsia="monospace" w:cs="monospace"/>
      <w:sz w:val="20"/>
    </w:rPr>
  </w:style>
  <w:style w:type="character" w:styleId="13">
    <w:name w:val="HTML Acronym"/>
    <w:basedOn w:val="9"/>
    <w:unhideWhenUsed/>
    <w:qFormat/>
    <w:uiPriority w:val="99"/>
  </w:style>
  <w:style w:type="character" w:styleId="14">
    <w:name w:val="HTML Variable"/>
    <w:basedOn w:val="9"/>
    <w:unhideWhenUsed/>
    <w:qFormat/>
    <w:uiPriority w:val="99"/>
  </w:style>
  <w:style w:type="character" w:styleId="15">
    <w:name w:val="Hyperlink"/>
    <w:basedOn w:val="9"/>
    <w:unhideWhenUsed/>
    <w:qFormat/>
    <w:uiPriority w:val="99"/>
    <w:rPr>
      <w:color w:val="0000FF"/>
      <w:u w:val="none"/>
    </w:rPr>
  </w:style>
  <w:style w:type="character" w:styleId="16">
    <w:name w:val="HTML Code"/>
    <w:basedOn w:val="9"/>
    <w:unhideWhenUsed/>
    <w:qFormat/>
    <w:uiPriority w:val="99"/>
    <w:rPr>
      <w:rFonts w:hint="default" w:ascii="monospace" w:hAnsi="monospace" w:eastAsia="monospace" w:cs="monospace"/>
      <w:sz w:val="20"/>
    </w:rPr>
  </w:style>
  <w:style w:type="character" w:styleId="17">
    <w:name w:val="HTML Cite"/>
    <w:basedOn w:val="9"/>
    <w:unhideWhenUsed/>
    <w:qFormat/>
    <w:uiPriority w:val="99"/>
  </w:style>
  <w:style w:type="character" w:styleId="18">
    <w:name w:val="HTML Keyboard"/>
    <w:basedOn w:val="9"/>
    <w:unhideWhenUsed/>
    <w:qFormat/>
    <w:uiPriority w:val="99"/>
    <w:rPr>
      <w:rFonts w:ascii="monospace" w:hAnsi="monospace" w:eastAsia="monospace" w:cs="monospace"/>
      <w:sz w:val="20"/>
    </w:rPr>
  </w:style>
  <w:style w:type="character" w:styleId="19">
    <w:name w:val="HTML Sample"/>
    <w:basedOn w:val="9"/>
    <w:unhideWhenUsed/>
    <w:qFormat/>
    <w:uiPriority w:val="99"/>
    <w:rPr>
      <w:rFonts w:hint="default" w:ascii="monospace" w:hAnsi="monospace" w:eastAsia="monospace" w:cs="monospace"/>
    </w:rPr>
  </w:style>
  <w:style w:type="character" w:customStyle="1" w:styleId="21">
    <w:name w:val="页眉 Char"/>
    <w:basedOn w:val="9"/>
    <w:link w:val="6"/>
    <w:semiHidden/>
    <w:qFormat/>
    <w:uiPriority w:val="99"/>
    <w:rPr>
      <w:sz w:val="18"/>
      <w:szCs w:val="18"/>
    </w:rPr>
  </w:style>
  <w:style w:type="character" w:customStyle="1" w:styleId="22">
    <w:name w:val="页脚 Char"/>
    <w:basedOn w:val="9"/>
    <w:link w:val="5"/>
    <w:semiHidden/>
    <w:qFormat/>
    <w:uiPriority w:val="99"/>
    <w:rPr>
      <w:sz w:val="18"/>
      <w:szCs w:val="18"/>
    </w:rPr>
  </w:style>
  <w:style w:type="paragraph" w:customStyle="1" w:styleId="2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4">
    <w:name w:val="日期 Char"/>
    <w:basedOn w:val="9"/>
    <w:link w:val="4"/>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388</Words>
  <Characters>2215</Characters>
  <Lines>18</Lines>
  <Paragraphs>5</Paragraphs>
  <ScaleCrop>false</ScaleCrop>
  <LinksUpToDate>false</LinksUpToDate>
  <CharactersWithSpaces>2598</CharactersWithSpaces>
  <Application>WPS Office_10.8.0.6294_F1E327BC-269C-435d-A152-05C5408002CA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2019-01-14T11:31:00Z</dcterms:created>
  <dc:creator>NTKO</dc:creator>
  <cp:lastModifiedBy>Administrator</cp:lastModifiedBy>
  <cp:lastPrinted>2022-01-20T03:42:00Z</cp:lastPrinted>
  <dcterms:modified xsi:type="dcterms:W3CDTF">2022-01-29T03:03:13Z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2052-10.8.0.6294</vt:lpwstr>
  </property>
  <property fmtid="{D5CDD505-2E9C-101B-9397-08002B2CF9AE}" pid="3" name="ICV">
    <vt:lpwstr>13AE1B61543E42A08FB50486E2CE3480</vt:lpwstr>
  </property>
</Properties>
</file>