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rPr>
          <w:rFonts w:ascii="方正小标宋简体" w:hAnsi="黑体" w:eastAsia="方正小标宋简体"/>
          <w:kern w:val="2"/>
          <w:sz w:val="44"/>
          <w:szCs w:val="44"/>
        </w:rPr>
      </w:pPr>
      <w:r>
        <w:rPr>
          <w:rFonts w:hint="eastAsia" w:ascii="方正小标宋简体" w:hAnsi="黑体" w:eastAsia="方正小标宋简体"/>
          <w:kern w:val="2"/>
          <w:sz w:val="44"/>
          <w:szCs w:val="44"/>
        </w:rPr>
        <w:t>丰城市</w:t>
      </w:r>
      <w:r>
        <w:rPr>
          <w:rFonts w:ascii="方正小标宋简体" w:hAnsi="黑体" w:eastAsia="方正小标宋简体"/>
          <w:kern w:val="2"/>
          <w:sz w:val="44"/>
          <w:szCs w:val="44"/>
        </w:rPr>
        <w:t>2019</w:t>
      </w:r>
      <w:r>
        <w:rPr>
          <w:rFonts w:hint="eastAsia" w:ascii="方正小标宋简体" w:hAnsi="黑体" w:eastAsia="方正小标宋简体"/>
          <w:kern w:val="2"/>
          <w:sz w:val="44"/>
          <w:szCs w:val="44"/>
        </w:rPr>
        <w:t>年政府信息公开年报</w:t>
      </w:r>
    </w:p>
    <w:p>
      <w:pPr>
        <w:adjustRightInd/>
        <w:spacing w:line="240" w:lineRule="auto"/>
        <w:rPr>
          <w:kern w:val="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本报告是根据《江西省人民政府办公厅关于转发国办公开函</w:t>
      </w:r>
      <w:r>
        <w:rPr>
          <w:rFonts w:hint="eastAsia" w:ascii="仿宋_GB2312" w:eastAsia="仿宋_GB2312"/>
          <w:color w:val="auto"/>
          <w:sz w:val="32"/>
        </w:rPr>
        <w:t>〔20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</w:rPr>
        <w:t>〕</w:t>
      </w:r>
      <w:r>
        <w:rPr>
          <w:rFonts w:ascii="仿宋_GB2312" w:hAnsi="微软雅黑" w:eastAsia="仿宋_GB2312"/>
          <w:color w:val="333333"/>
          <w:sz w:val="32"/>
          <w:szCs w:val="32"/>
        </w:rPr>
        <w:t>60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、</w:t>
      </w:r>
      <w:r>
        <w:rPr>
          <w:rFonts w:ascii="仿宋_GB2312" w:hAnsi="微软雅黑" w:eastAsia="仿宋_GB2312"/>
          <w:color w:val="333333"/>
          <w:sz w:val="32"/>
          <w:szCs w:val="32"/>
        </w:rPr>
        <w:t>61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号文件做好政府信息公开有关工作的通知》要求，汇总丰城市政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府门户网站、政府信息公开平台数据编制而成。由总体情况、主动公开政府信息情况、收到和处理政府信息公开申请情况、政府信息公开行政复议、行政诉讼情况、存在的主要问题及改进情况、其他需要报告的事项</w:t>
      </w:r>
      <w:r>
        <w:rPr>
          <w:rFonts w:ascii="仿宋_GB2312" w:hAnsi="微软雅黑" w:eastAsia="仿宋_GB2312"/>
          <w:color w:val="333333"/>
          <w:sz w:val="32"/>
          <w:szCs w:val="32"/>
        </w:rPr>
        <w:t>6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个部分组成。报告中所列数据的统计时间为</w:t>
      </w:r>
      <w:r>
        <w:rPr>
          <w:rFonts w:ascii="仿宋_GB2312" w:hAnsi="微软雅黑" w:eastAsia="仿宋_GB2312"/>
          <w:color w:val="333333"/>
          <w:sz w:val="32"/>
          <w:szCs w:val="32"/>
        </w:rPr>
        <w:t>2019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ascii="仿宋_GB2312" w:hAnsi="微软雅黑" w:eastAsia="仿宋_GB2312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仿宋_GB2312" w:hAnsi="微软雅黑" w:eastAsia="仿宋_GB2312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日至</w:t>
      </w:r>
      <w:r>
        <w:rPr>
          <w:rFonts w:ascii="仿宋_GB2312" w:hAnsi="微软雅黑" w:eastAsia="仿宋_GB2312"/>
          <w:color w:val="333333"/>
          <w:sz w:val="32"/>
          <w:szCs w:val="32"/>
        </w:rPr>
        <w:t>2019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ascii="仿宋_GB2312" w:hAnsi="微软雅黑" w:eastAsia="仿宋_GB2312"/>
          <w:color w:val="333333"/>
          <w:sz w:val="32"/>
          <w:szCs w:val="32"/>
        </w:rPr>
        <w:t>12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仿宋_GB2312" w:hAnsi="微软雅黑" w:eastAsia="仿宋_GB2312"/>
          <w:color w:val="333333"/>
          <w:sz w:val="32"/>
          <w:szCs w:val="32"/>
        </w:rPr>
        <w:t>31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2019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以来，为保障公民、法人和其他组织依法获取政府信息，我市深入贯彻落实新修订的《中华人民共和国政府信息公开条例》及国务院、江西省、宜春市关于政务公开工作要求，紧紧抓住集约化建设契机，着力推进政府信息公开工作在融合中提升质量、在整合中优化流程，切实提高信息公开水平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（一）主动公开政府信息情况。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我市以《江西省</w:t>
      </w:r>
      <w:r>
        <w:rPr>
          <w:rFonts w:ascii="仿宋_GB2312" w:hAnsi="微软雅黑" w:eastAsia="仿宋_GB2312"/>
          <w:color w:val="333333"/>
          <w:sz w:val="32"/>
          <w:szCs w:val="32"/>
        </w:rPr>
        <w:t>2019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政务公开要点》指引，严格落实信息公开条例，健全完善了政务公开信息发布、保密审查、责任追究、监督考核等配套制度。重点公开财政预算、公共资源配置、重大建设项目批准和实施、社会公益事业建设等信息，大力推进决策公开、执行公开、管理公开、服务公开、结果公开等，极大地提升了政务公开质量。</w:t>
      </w:r>
      <w:r>
        <w:rPr>
          <w:rFonts w:ascii="仿宋_GB2312" w:hAnsi="微软雅黑" w:eastAsia="仿宋_GB2312"/>
          <w:color w:val="333333"/>
          <w:sz w:val="32"/>
          <w:szCs w:val="32"/>
        </w:rPr>
        <w:t>2019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年，政府网站共计发布信息</w:t>
      </w:r>
      <w:r>
        <w:rPr>
          <w:rFonts w:ascii="仿宋_GB2312" w:hAnsi="微软雅黑" w:eastAsia="仿宋_GB2312"/>
          <w:color w:val="333333"/>
          <w:sz w:val="32"/>
          <w:szCs w:val="32"/>
        </w:rPr>
        <w:t>9261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条；</w:t>
      </w:r>
      <w:r>
        <w:rPr>
          <w:rFonts w:ascii="仿宋_GB2312" w:hAnsi="微软雅黑" w:eastAsia="仿宋_GB2312"/>
          <w:color w:val="333333"/>
          <w:sz w:val="32"/>
          <w:szCs w:val="32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月份开通政务新媒体“中国丰城”微信公众号，发布信息</w:t>
      </w:r>
      <w:r>
        <w:rPr>
          <w:rFonts w:ascii="仿宋_GB2312" w:hAnsi="微软雅黑" w:eastAsia="仿宋_GB2312"/>
          <w:color w:val="333333"/>
          <w:sz w:val="32"/>
          <w:szCs w:val="32"/>
        </w:rPr>
        <w:t>59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（二）依申请公开情况。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全年共受理依申请公开11件，其中自然人申请件7件，目前7件已全部办结;法人或其他组织申请4件，目前已全部办结1件，结转下一年办理3件，已办结件中，同意公开和部分公开的2件；不予公开、无法提供、不予处理和其他处理的共6件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（三）解读回应情况。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一是下发了《政府政策解读材料随文报送制度》（丰府办发</w:t>
      </w:r>
      <w:r>
        <w:rPr>
          <w:rFonts w:hint="eastAsia" w:ascii="仿宋_GB2312" w:eastAsia="仿宋_GB2312"/>
          <w:color w:val="auto"/>
          <w:sz w:val="32"/>
        </w:rPr>
        <w:t>〔20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</w:rPr>
        <w:t>〕</w:t>
      </w:r>
      <w:r>
        <w:rPr>
          <w:rFonts w:ascii="仿宋_GB2312" w:hAnsi="微软雅黑" w:eastAsia="仿宋_GB2312"/>
          <w:color w:val="333333"/>
          <w:sz w:val="32"/>
          <w:szCs w:val="32"/>
        </w:rPr>
        <w:t>21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号）文件，在政府门户网站中设置政策解读栏，开通“中国丰城”微信公众号，通过网站、政务新媒体等多种渠道及时向公众解读相关政策信息；二是积极回应社会关切，坚持把群众最关心、最需要了解的事项作为信息公开重点。通过门户网站“政民互动”、“网络问政”等专栏，以及“</w:t>
      </w:r>
      <w:r>
        <w:rPr>
          <w:rFonts w:ascii="仿宋_GB2312" w:hAnsi="微软雅黑" w:eastAsia="仿宋_GB2312"/>
          <w:color w:val="333333"/>
          <w:sz w:val="32"/>
          <w:szCs w:val="32"/>
        </w:rPr>
        <w:t>12345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”热线和“问政江西”平台，畅通民意征集、回应渠道。全年共回应社会关切</w:t>
      </w:r>
      <w:r>
        <w:rPr>
          <w:rFonts w:ascii="仿宋_GB2312" w:hAnsi="微软雅黑" w:eastAsia="仿宋_GB2312"/>
          <w:color w:val="333333"/>
          <w:sz w:val="32"/>
          <w:szCs w:val="32"/>
        </w:rPr>
        <w:t>8318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条，其中“网络问政”平台回复</w:t>
      </w:r>
      <w:r>
        <w:rPr>
          <w:rFonts w:ascii="仿宋_GB2312" w:hAnsi="微软雅黑" w:eastAsia="仿宋_GB2312"/>
          <w:color w:val="333333"/>
          <w:sz w:val="32"/>
          <w:szCs w:val="32"/>
        </w:rPr>
        <w:t>1455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条；“</w:t>
      </w:r>
      <w:r>
        <w:rPr>
          <w:rFonts w:ascii="仿宋_GB2312" w:hAnsi="微软雅黑" w:eastAsia="仿宋_GB2312"/>
          <w:color w:val="333333"/>
          <w:sz w:val="32"/>
          <w:szCs w:val="32"/>
        </w:rPr>
        <w:t>12345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”热线回复</w:t>
      </w:r>
      <w:r>
        <w:rPr>
          <w:rFonts w:ascii="仿宋_GB2312" w:hAnsi="微软雅黑" w:eastAsia="仿宋_GB2312"/>
          <w:color w:val="333333"/>
          <w:sz w:val="32"/>
          <w:szCs w:val="32"/>
        </w:rPr>
        <w:t>6795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条；“问政江西”平台回复</w:t>
      </w:r>
      <w:r>
        <w:rPr>
          <w:rFonts w:ascii="仿宋_GB2312" w:hAnsi="微软雅黑" w:eastAsia="仿宋_GB2312"/>
          <w:color w:val="333333"/>
          <w:sz w:val="32"/>
          <w:szCs w:val="32"/>
        </w:rPr>
        <w:t>68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微软雅黑" w:eastAsia="仿宋_GB2312" w:cs="宋体"/>
          <w:color w:val="333333"/>
          <w:sz w:val="32"/>
          <w:szCs w:val="32"/>
        </w:rPr>
      </w:pPr>
      <w:r>
        <w:rPr>
          <w:rFonts w:hint="eastAsia" w:ascii="楷体" w:hAnsi="楷体" w:eastAsia="楷体" w:cs="宋体"/>
          <w:color w:val="333333"/>
          <w:sz w:val="32"/>
          <w:szCs w:val="32"/>
        </w:rPr>
        <w:t>（四）平台建设情况。</w:t>
      </w:r>
      <w:r>
        <w:rPr>
          <w:rFonts w:hint="eastAsia" w:ascii="仿宋_GB2312" w:hAnsi="微软雅黑" w:eastAsia="仿宋_GB2312" w:cs="宋体"/>
          <w:b/>
          <w:color w:val="333333"/>
          <w:sz w:val="32"/>
          <w:szCs w:val="32"/>
        </w:rPr>
        <w:t>一是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强化全市政府网站常态化监管和集约化建设。全市只有市本级建有政府门户网站，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30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个部门和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33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个乡镇（街道）在主站上开设专栏。并按照宜春市统一标准规范、统一技术平台、统一安全防护、统一运维监管要求，将丰城市政府网站纳入宜春市大数据平台，实现全宜春市县级政府网站集约化管理；</w:t>
      </w:r>
      <w:r>
        <w:rPr>
          <w:rFonts w:hint="eastAsia" w:ascii="仿宋_GB2312" w:hAnsi="微软雅黑" w:eastAsia="仿宋_GB2312" w:cs="宋体"/>
          <w:b/>
          <w:color w:val="333333"/>
          <w:sz w:val="32"/>
          <w:szCs w:val="32"/>
        </w:rPr>
        <w:t>二是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加强网络问政府平台建设。建立当日转办、限时反馈、及时回复、跟踪督办、特事特办的工作机制。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2019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年，收到并办理有效留言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1455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条，且全部回复，回复率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100%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；</w:t>
      </w:r>
      <w:r>
        <w:rPr>
          <w:rFonts w:hint="eastAsia" w:ascii="仿宋_GB2312" w:hAnsi="微软雅黑" w:eastAsia="仿宋_GB2312" w:cs="宋体"/>
          <w:b/>
          <w:color w:val="333333"/>
          <w:sz w:val="32"/>
          <w:szCs w:val="32"/>
        </w:rPr>
        <w:t>三是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规范有序开展政府公报工作。制定印发了《丰城市人民政府公报管理制度》的通知（丰府办字</w:t>
      </w:r>
      <w:r>
        <w:rPr>
          <w:rFonts w:hint="eastAsia" w:ascii="仿宋_GB2312" w:eastAsia="仿宋_GB2312"/>
          <w:color w:val="auto"/>
          <w:sz w:val="32"/>
        </w:rPr>
        <w:t>〔20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</w:rPr>
        <w:t>〕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12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号），有效促进了公报工作的科学化、规范性、制度化。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left"/>
        <w:textAlignment w:val="auto"/>
        <w:outlineLvl w:val="9"/>
      </w:pPr>
      <w:r>
        <w:rPr>
          <w:rFonts w:hint="eastAsia" w:ascii="楷体" w:hAnsi="楷体" w:eastAsia="楷体"/>
          <w:sz w:val="32"/>
          <w:szCs w:val="32"/>
        </w:rPr>
        <w:t>（五）监督保障情况。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一是加强领导，成立了常务副市长为组长，办公室主任为副组长，相关职能部门分管领导为成员的领导小组；二是将政务公开工作纳入年度目标责任制考核范围，占分值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分。为进一步加强和改进政务公开工作提供制度保障。市政府主要领导高度重视，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2019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年多次专门作出批示；三是开展业务培训，据统计，全年共开展了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次政务公开业务集中培训，培训人员达</w:t>
      </w:r>
      <w:r>
        <w:rPr>
          <w:rFonts w:ascii="仿宋_GB2312" w:hAnsi="微软雅黑" w:eastAsia="仿宋_GB2312" w:cs="宋体"/>
          <w:color w:val="333333"/>
          <w:sz w:val="32"/>
          <w:szCs w:val="32"/>
        </w:rPr>
        <w:t>268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人次。</w:t>
      </w:r>
    </w:p>
    <w:p>
      <w:pPr>
        <w:adjustRightInd/>
        <w:spacing w:line="600" w:lineRule="exact"/>
        <w:ind w:firstLine="640" w:firstLineChars="20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二、主动公开政府信息情况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1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本年新制作数量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本年新公开数量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规章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规范性文件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111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41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</w:t>
            </w:r>
            <w:r>
              <w:rPr>
                <w:kern w:val="2"/>
                <w:szCs w:val="24"/>
              </w:rPr>
              <w:t>/</w:t>
            </w:r>
            <w:r>
              <w:rPr>
                <w:rFonts w:hint="eastAsia"/>
                <w:kern w:val="2"/>
                <w:szCs w:val="24"/>
              </w:rPr>
              <w:t>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行政许可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200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52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13779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388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57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126944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</w:t>
            </w:r>
            <w:r>
              <w:rPr>
                <w:kern w:val="2"/>
                <w:szCs w:val="24"/>
              </w:rPr>
              <w:t>/</w:t>
            </w:r>
            <w:r>
              <w:rPr>
                <w:rFonts w:hint="eastAsia"/>
                <w:kern w:val="2"/>
                <w:szCs w:val="24"/>
              </w:rPr>
              <w:t>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行政处罚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66</w:t>
            </w:r>
            <w:r>
              <w:rPr>
                <w:rFonts w:hint="eastAsia"/>
                <w:kern w:val="2"/>
                <w:szCs w:val="24"/>
              </w:rPr>
              <w:t>8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72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12778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行政强制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4</w:t>
            </w:r>
            <w:r>
              <w:rPr>
                <w:rFonts w:hint="eastAsia"/>
                <w:kern w:val="2"/>
                <w:szCs w:val="24"/>
                <w:lang w:val="en-US" w:eastAsia="zh-CN"/>
              </w:rPr>
              <w:t>8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</w:t>
            </w:r>
            <w:r>
              <w:rPr>
                <w:kern w:val="2"/>
                <w:szCs w:val="24"/>
              </w:rPr>
              <w:t>/</w:t>
            </w:r>
            <w:r>
              <w:rPr>
                <w:rFonts w:hint="eastAsia"/>
                <w:kern w:val="2"/>
                <w:szCs w:val="24"/>
              </w:rPr>
              <w:t>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行政事业性收费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35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采购总金额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政府集中采购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39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257022923.13</w:t>
            </w:r>
            <w:r>
              <w:rPr>
                <w:rFonts w:hint="eastAsia"/>
                <w:kern w:val="2"/>
                <w:szCs w:val="24"/>
              </w:rPr>
              <w:t>元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</w:p>
        </w:tc>
      </w:tr>
    </w:tbl>
    <w:p>
      <w:pPr>
        <w:adjustRightInd/>
        <w:spacing w:line="240" w:lineRule="auto"/>
        <w:rPr>
          <w:kern w:val="2"/>
          <w:szCs w:val="24"/>
        </w:rPr>
      </w:pPr>
    </w:p>
    <w:p>
      <w:pPr>
        <w:adjustRightInd/>
        <w:spacing w:line="240" w:lineRule="auto"/>
        <w:rPr>
          <w:kern w:val="2"/>
          <w:szCs w:val="24"/>
        </w:rPr>
      </w:pPr>
    </w:p>
    <w:p>
      <w:pPr>
        <w:adjustRightInd/>
        <w:spacing w:line="600" w:lineRule="exact"/>
        <w:ind w:firstLine="640" w:firstLineChars="20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三、收到和处理政府信息公开申请情况</w:t>
      </w:r>
    </w:p>
    <w:tbl>
      <w:tblPr>
        <w:tblStyle w:val="6"/>
        <w:tblW w:w="94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80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68" w:type="dxa"/>
            <w:gridSpan w:val="3"/>
            <w:vMerge w:val="restart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068" w:type="dxa"/>
            <w:gridSpan w:val="3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068" w:type="dxa"/>
            <w:gridSpan w:val="3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商业</w:t>
            </w:r>
          </w:p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科研</w:t>
            </w:r>
          </w:p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restart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  <w:lang w:eastAsia="zh-CN"/>
              </w:rPr>
            </w:pP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eastAsia="zh-CN"/>
              </w:rPr>
              <w:t>三、</w:t>
            </w:r>
            <w:r>
              <w:rPr>
                <w:rFonts w:hint="eastAsia"/>
                <w:kern w:val="2"/>
                <w:sz w:val="18"/>
                <w:szCs w:val="18"/>
              </w:rPr>
              <w:t>本年度办理情况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（三）不予</w:t>
            </w:r>
          </w:p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以公</w:t>
            </w:r>
          </w:p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rFonts w:hint="eastAsia"/>
                <w:kern w:val="2"/>
                <w:sz w:val="18"/>
                <w:szCs w:val="18"/>
              </w:rPr>
              <w:t>、属于国家秘密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>
              <w:rPr>
                <w:rFonts w:hint="eastAsia"/>
                <w:kern w:val="2"/>
                <w:sz w:val="18"/>
                <w:szCs w:val="18"/>
              </w:rPr>
              <w:t>、其他法律行政法规禁止公开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>
              <w:rPr>
                <w:rFonts w:hint="eastAsia"/>
                <w:kern w:val="2"/>
                <w:sz w:val="18"/>
                <w:szCs w:val="18"/>
              </w:rPr>
              <w:t>、危及“三安全一稳定”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>
              <w:rPr>
                <w:rFonts w:hint="eastAsia"/>
                <w:kern w:val="2"/>
                <w:sz w:val="18"/>
                <w:szCs w:val="18"/>
              </w:rPr>
              <w:t>、保护第三方合法权益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>
              <w:rPr>
                <w:rFonts w:hint="eastAsia"/>
                <w:kern w:val="2"/>
                <w:sz w:val="18"/>
                <w:szCs w:val="18"/>
              </w:rPr>
              <w:t>、属于第三类内部事务信息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>
              <w:rPr>
                <w:rFonts w:hint="eastAsia"/>
                <w:kern w:val="2"/>
                <w:sz w:val="18"/>
                <w:szCs w:val="18"/>
              </w:rPr>
              <w:t>、属于四类过程性信息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>
              <w:rPr>
                <w:rFonts w:hint="eastAsia"/>
                <w:kern w:val="2"/>
                <w:sz w:val="18"/>
                <w:szCs w:val="18"/>
              </w:rPr>
              <w:t>、属于行政执法案卷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>
              <w:rPr>
                <w:rFonts w:hint="eastAsia"/>
                <w:kern w:val="2"/>
                <w:sz w:val="18"/>
                <w:szCs w:val="18"/>
              </w:rPr>
              <w:t>、属于行政查询事项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（四）无法</w:t>
            </w:r>
          </w:p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rFonts w:hint="eastAsia"/>
                <w:kern w:val="2"/>
                <w:sz w:val="18"/>
                <w:szCs w:val="18"/>
              </w:rPr>
              <w:t>、本机关不掌握相关政府信息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>
              <w:rPr>
                <w:rFonts w:hint="eastAsia"/>
                <w:kern w:val="2"/>
                <w:sz w:val="18"/>
                <w:szCs w:val="18"/>
              </w:rPr>
              <w:t>、没有现成信息需要另行制作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>
              <w:rPr>
                <w:rFonts w:hint="eastAsia"/>
                <w:kern w:val="2"/>
                <w:sz w:val="18"/>
                <w:szCs w:val="18"/>
              </w:rPr>
              <w:t>、补正后申请内容仍不明确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（五）</w:t>
            </w:r>
          </w:p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不予</w:t>
            </w:r>
          </w:p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rFonts w:hint="eastAsia"/>
                <w:kern w:val="2"/>
                <w:sz w:val="18"/>
                <w:szCs w:val="18"/>
              </w:rPr>
              <w:t>、信访举报类申请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>
              <w:rPr>
                <w:rFonts w:hint="eastAsia"/>
                <w:kern w:val="2"/>
                <w:sz w:val="18"/>
                <w:szCs w:val="18"/>
              </w:rPr>
              <w:t>、重复申请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>
              <w:rPr>
                <w:rFonts w:hint="eastAsia"/>
                <w:kern w:val="2"/>
                <w:sz w:val="18"/>
                <w:szCs w:val="18"/>
              </w:rPr>
              <w:t>、要求提供公开出版物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>
              <w:rPr>
                <w:rFonts w:hint="eastAsia"/>
                <w:kern w:val="2"/>
                <w:sz w:val="18"/>
                <w:szCs w:val="18"/>
              </w:rPr>
              <w:t>、无正当理由大量反复申请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>
              <w:rPr>
                <w:rFonts w:hint="eastAsia"/>
                <w:kern w:val="2"/>
                <w:sz w:val="18"/>
                <w:szCs w:val="18"/>
              </w:rPr>
              <w:t>、要求行政机关确认或重新出具已获取信息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eastAsia="zh-CN"/>
              </w:rPr>
              <w:t>四</w:t>
            </w:r>
            <w:r>
              <w:rPr>
                <w:rFonts w:hint="eastAsia"/>
                <w:kern w:val="2"/>
                <w:sz w:val="18"/>
                <w:szCs w:val="18"/>
              </w:rPr>
              <w:t>、结转下年度继续办理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3</w:t>
            </w:r>
          </w:p>
        </w:tc>
      </w:tr>
    </w:tbl>
    <w:p>
      <w:pPr>
        <w:adjustRightInd/>
        <w:spacing w:line="240" w:lineRule="auto"/>
        <w:rPr>
          <w:kern w:val="2"/>
          <w:szCs w:val="24"/>
        </w:rPr>
      </w:pPr>
    </w:p>
    <w:p>
      <w:pPr>
        <w:adjustRightInd/>
        <w:spacing w:line="600" w:lineRule="exact"/>
        <w:ind w:firstLine="640" w:firstLineChars="20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四、政府信息公开行政复议、行政诉讼情况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</w:p>
        </w:tc>
        <w:tc>
          <w:tcPr>
            <w:tcW w:w="569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</w:tcPr>
          <w:p>
            <w:pPr>
              <w:adjustRightInd/>
              <w:spacing w:line="240" w:lineRule="auto"/>
              <w:rPr>
                <w:kern w:val="2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9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0</w:t>
            </w:r>
          </w:p>
        </w:tc>
      </w:tr>
    </w:tbl>
    <w:p>
      <w:pPr>
        <w:adjustRightInd/>
        <w:spacing w:line="600" w:lineRule="exact"/>
        <w:ind w:firstLine="640" w:firstLineChars="20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adjustRightInd/>
        <w:spacing w:line="580" w:lineRule="exact"/>
        <w:ind w:firstLine="598"/>
        <w:jc w:val="left"/>
        <w:rPr>
          <w:rFonts w:ascii="仿宋_GB2312" w:hAnsi="宋体" w:eastAsia="仿宋_GB2312" w:cs="宋体"/>
          <w:color w:val="3D3D3D"/>
          <w:sz w:val="32"/>
          <w:szCs w:val="32"/>
        </w:rPr>
      </w:pPr>
      <w:r>
        <w:rPr>
          <w:rFonts w:hint="eastAsia" w:ascii="楷体" w:hAnsi="楷体" w:eastAsia="楷体" w:cs="宋体"/>
          <w:color w:val="3D3D3D"/>
          <w:sz w:val="32"/>
          <w:szCs w:val="32"/>
        </w:rPr>
        <w:t>（一）存在的问题。</w:t>
      </w:r>
      <w:r>
        <w:rPr>
          <w:rFonts w:ascii="仿宋_GB2312" w:hAnsi="宋体" w:eastAsia="仿宋_GB2312" w:cs="宋体"/>
          <w:color w:val="3D3D3D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color w:val="3D3D3D"/>
          <w:sz w:val="32"/>
          <w:szCs w:val="32"/>
        </w:rPr>
        <w:t>年，我市政府公开工作虽然取得了一些成效，但与上级要求还有一定差距，主要体现在：一是思想认识还需提高。个别部门单位对政府信息公开的作用和要求认识不足，公开内容随意性大，公开质量参差不齐，公开流程不够规范，对什么要公开，要公开什么把握不准；二是主动公开的深度有待进一步拓展。主要体现在公开信息质量不够高，个别部门为公开而公开，缺少从公众视角开展公开工作的意识。三是政策解读还有待提升。主要体现在主动进行政策解读的意愿不够强，解读随意性较大，解读形式单一，效果有待提升。四是对依申请公开工作疑难问题的研究与指导有待提升。依申请公开工作的难度和复杂度越来越大，缺少从专业法律角度的研究与分析，对相关难题的指导不够。</w:t>
      </w:r>
    </w:p>
    <w:p>
      <w:pPr>
        <w:pStyle w:val="4"/>
        <w:shd w:val="clear" w:color="auto" w:fill="FFFFFF"/>
        <w:spacing w:before="0" w:beforeAutospacing="0" w:after="0" w:afterAutospacing="0" w:line="540" w:lineRule="atLeast"/>
        <w:ind w:firstLine="640" w:firstLineChars="200"/>
        <w:jc w:val="both"/>
        <w:rPr>
          <w:rFonts w:ascii="仿宋_GB2312" w:eastAsia="仿宋_GB2312"/>
          <w:color w:val="3D3D3D"/>
          <w:sz w:val="32"/>
          <w:szCs w:val="32"/>
        </w:rPr>
      </w:pPr>
      <w:r>
        <w:rPr>
          <w:rFonts w:hint="eastAsia" w:ascii="楷体" w:hAnsi="楷体" w:eastAsia="楷体"/>
          <w:color w:val="3D3D3D"/>
          <w:sz w:val="32"/>
          <w:szCs w:val="32"/>
        </w:rPr>
        <w:t>（二）下一步工作。</w:t>
      </w:r>
      <w:r>
        <w:rPr>
          <w:rFonts w:ascii="仿宋_GB2312" w:eastAsia="仿宋_GB2312"/>
          <w:color w:val="3D3D3D"/>
          <w:sz w:val="32"/>
          <w:szCs w:val="32"/>
        </w:rPr>
        <w:t>2020</w:t>
      </w:r>
      <w:r>
        <w:rPr>
          <w:rFonts w:hint="eastAsia" w:ascii="仿宋_GB2312" w:eastAsia="仿宋_GB2312"/>
          <w:color w:val="3D3D3D"/>
          <w:sz w:val="32"/>
          <w:szCs w:val="32"/>
        </w:rPr>
        <w:t>年主要从以下几方面推进政务公开工作。一是加强组织领导，政府信息公开对加强政府自身建设，推动国家治理体系和治理能力现代化具有重要意义。各部门单位主要领导要亲自抓，把政务信息公开当作日常工作亲自部署,亲自过问, 分管领导具体抓，健全有关制度,形成长效工作机制；二是加强业务学习。对新修订的《中华人民共和国政府信息公开条例》进行认真系统的学习，同时加大对相关业务人员培训力度，切实提高政务公开工作质量；三是加强政策解读与回应，由市政务公开办公室（市信息中心）牵头，联合相关业务部门开展政策解读，以问答式解读、动漫卡通解读等形式，切实让老百姓看得懂、愿意看；四是回应公众关切，进一步规范依申请公开工作。加强对依申请公开案例的研究与分析，建立依申请公开案例库。</w:t>
      </w:r>
    </w:p>
    <w:p>
      <w:pPr>
        <w:adjustRightInd/>
        <w:spacing w:line="600" w:lineRule="exact"/>
        <w:ind w:firstLine="640" w:firstLineChars="20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六、其他需要报告的事项</w:t>
      </w:r>
    </w:p>
    <w:p>
      <w:pPr>
        <w:shd w:val="clear" w:color="auto" w:fill="FFFFFF"/>
        <w:spacing w:line="580" w:lineRule="exact"/>
        <w:ind w:firstLine="598"/>
        <w:rPr>
          <w:rFonts w:ascii="仿宋_GB2312" w:hAnsi="宋体" w:eastAsia="仿宋_GB2312" w:cs="宋体"/>
          <w:bCs/>
          <w:color w:val="3D3D3D"/>
          <w:sz w:val="32"/>
        </w:rPr>
      </w:pPr>
      <w:r>
        <w:rPr>
          <w:rFonts w:hint="eastAsia" w:ascii="仿宋_GB2312" w:hAnsi="宋体" w:eastAsia="仿宋_GB2312" w:cs="宋体"/>
          <w:bCs/>
          <w:color w:val="3D3D3D"/>
          <w:sz w:val="32"/>
        </w:rPr>
        <w:t>如需了解更多政务信息，请登录丰城市政府网站查询（</w:t>
      </w:r>
      <w:r>
        <w:rPr>
          <w:rFonts w:ascii="仿宋_GB2312" w:hAnsi="宋体" w:eastAsia="仿宋_GB2312" w:cs="宋体"/>
          <w:bCs/>
          <w:color w:val="3D3D3D"/>
          <w:sz w:val="32"/>
        </w:rPr>
        <w:t>http://www.jxfc.gov.cn</w:t>
      </w:r>
      <w:r>
        <w:rPr>
          <w:rFonts w:hint="eastAsia" w:ascii="仿宋_GB2312" w:hAnsi="宋体" w:eastAsia="仿宋_GB2312" w:cs="宋体"/>
          <w:bCs/>
          <w:color w:val="3D3D3D"/>
          <w:sz w:val="32"/>
        </w:rPr>
        <w:t>）</w:t>
      </w:r>
    </w:p>
    <w:p>
      <w:pPr>
        <w:widowControl/>
        <w:overflowPunct w:val="0"/>
        <w:spacing w:line="600" w:lineRule="exact"/>
        <w:rPr>
          <w:rFonts w:eastAsia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ansoft Batang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0"/>
    <w:rsid w:val="00047FE7"/>
    <w:rsid w:val="000B5D75"/>
    <w:rsid w:val="000D2EF6"/>
    <w:rsid w:val="00117117"/>
    <w:rsid w:val="00156A2B"/>
    <w:rsid w:val="00186CB6"/>
    <w:rsid w:val="001B7B26"/>
    <w:rsid w:val="001F15C3"/>
    <w:rsid w:val="002174E1"/>
    <w:rsid w:val="002D3B15"/>
    <w:rsid w:val="002F7E6F"/>
    <w:rsid w:val="00324E2A"/>
    <w:rsid w:val="00325B70"/>
    <w:rsid w:val="00346288"/>
    <w:rsid w:val="003526A7"/>
    <w:rsid w:val="00352FC2"/>
    <w:rsid w:val="00375B4D"/>
    <w:rsid w:val="003770E6"/>
    <w:rsid w:val="00440120"/>
    <w:rsid w:val="00474ECC"/>
    <w:rsid w:val="004B020F"/>
    <w:rsid w:val="004B6E61"/>
    <w:rsid w:val="00500366"/>
    <w:rsid w:val="00523EA8"/>
    <w:rsid w:val="005A7322"/>
    <w:rsid w:val="005A7E71"/>
    <w:rsid w:val="00605461"/>
    <w:rsid w:val="0063552A"/>
    <w:rsid w:val="006702AE"/>
    <w:rsid w:val="006D7A55"/>
    <w:rsid w:val="007503E5"/>
    <w:rsid w:val="00771C81"/>
    <w:rsid w:val="007C09F7"/>
    <w:rsid w:val="007E07DB"/>
    <w:rsid w:val="007F343F"/>
    <w:rsid w:val="00802E2F"/>
    <w:rsid w:val="00803BD8"/>
    <w:rsid w:val="00825AA6"/>
    <w:rsid w:val="0083267C"/>
    <w:rsid w:val="008619B0"/>
    <w:rsid w:val="00897BCA"/>
    <w:rsid w:val="008D5A1F"/>
    <w:rsid w:val="00903613"/>
    <w:rsid w:val="00945C09"/>
    <w:rsid w:val="00951D65"/>
    <w:rsid w:val="00983C50"/>
    <w:rsid w:val="009910D1"/>
    <w:rsid w:val="00992DA8"/>
    <w:rsid w:val="009F5FFD"/>
    <w:rsid w:val="00A2070B"/>
    <w:rsid w:val="00A64604"/>
    <w:rsid w:val="00AF1BCE"/>
    <w:rsid w:val="00B01E26"/>
    <w:rsid w:val="00B11EE0"/>
    <w:rsid w:val="00B15BA3"/>
    <w:rsid w:val="00BA6AE3"/>
    <w:rsid w:val="00BD4503"/>
    <w:rsid w:val="00BD748D"/>
    <w:rsid w:val="00BE2748"/>
    <w:rsid w:val="00C74F5D"/>
    <w:rsid w:val="00C81098"/>
    <w:rsid w:val="00CE3B6E"/>
    <w:rsid w:val="00CF171E"/>
    <w:rsid w:val="00D47FD1"/>
    <w:rsid w:val="00D706A2"/>
    <w:rsid w:val="00D85734"/>
    <w:rsid w:val="00D87B1B"/>
    <w:rsid w:val="00DC09E2"/>
    <w:rsid w:val="00DC6A4C"/>
    <w:rsid w:val="00DD78B2"/>
    <w:rsid w:val="00E7091F"/>
    <w:rsid w:val="00E727EB"/>
    <w:rsid w:val="00EA1406"/>
    <w:rsid w:val="00ED1788"/>
    <w:rsid w:val="00EE465B"/>
    <w:rsid w:val="00F45F95"/>
    <w:rsid w:val="00F72B13"/>
    <w:rsid w:val="00FE3106"/>
    <w:rsid w:val="00FF4D5A"/>
    <w:rsid w:val="00FF548B"/>
    <w:rsid w:val="1D482695"/>
    <w:rsid w:val="725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  <w:style w:type="character" w:customStyle="1" w:styleId="7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微软原版</Company>
  <Pages>7</Pages>
  <Words>1740</Words>
  <Characters>1740</Characters>
  <Lines>72</Lines>
  <Paragraphs>14</Paragraphs>
  <TotalTime>0</TotalTime>
  <ScaleCrop>false</ScaleCrop>
  <LinksUpToDate>false</LinksUpToDate>
  <CharactersWithSpaces>3466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2020-02-24T06:49:00Z</dcterms:created>
  <dc:creator>Win7旗舰正式版</dc:creator>
  <cp:lastModifiedBy>Administrator</cp:lastModifiedBy>
  <dcterms:modified xsi:type="dcterms:W3CDTF">2021-04-29T09:10:01Z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